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29bis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502733</w:t>
      </w:r>
    </w:p>
    <w:p w14:paraId="204D30C9">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Wuhan, China, 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 2025</w:t>
      </w:r>
    </w:p>
    <w:p w14:paraId="082662AF">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3.5</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measurement event prediction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22BA0FC5">
      <w:pPr>
        <w:widowControl/>
        <w:spacing w:after="180"/>
        <w:jc w:val="both"/>
        <w:rPr>
          <w:rFonts w:hint="default" w:ascii="Arial" w:hAnsi="Arial" w:eastAsia="宋体" w:cs="Arial"/>
          <w:kern w:val="0"/>
          <w:sz w:val="21"/>
          <w:szCs w:val="21"/>
          <w:lang w:val="en-US" w:eastAsia="zh-CN"/>
        </w:rPr>
      </w:pPr>
      <w:r>
        <w:rPr>
          <w:rFonts w:hint="default" w:ascii="Arial" w:hAnsi="Arial" w:eastAsia="宋体" w:cs="Arial"/>
          <w:kern w:val="0"/>
          <w:sz w:val="20"/>
          <w:szCs w:val="20"/>
          <w:lang w:val="en-US" w:eastAsia="zh-CN"/>
        </w:rPr>
        <w:t>The objectives for Rel-19 AI/ML for Mobility were approved in [1].</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1"/>
          <w:szCs w:val="21"/>
          <w:lang w:val="en-US" w:eastAsia="zh-CN"/>
        </w:rPr>
        <w:t>This contribution will provide our initial consideration on LCM framework for measurement event prediction.</w:t>
      </w:r>
    </w:p>
    <w:p w14:paraId="5D063125">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6567D5DB">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For LCM functional framework and studied aspects, as mentioned in our contribution on RRM measurement prediction [2], the progress on AI/ML for Air Interface can be reused as much as possible. This contribution will analysis the aspects related to measurement event prediction.</w:t>
      </w:r>
    </w:p>
    <w:p w14:paraId="4B85BB60">
      <w:pPr>
        <w:spacing w:before="120" w:beforeLines="50" w:after="120" w:line="240" w:lineRule="auto"/>
        <w:rPr>
          <w:rFonts w:hint="default" w:ascii="Arial" w:hAnsi="Arial" w:eastAsia="宋体" w:cs="Arial"/>
          <w:b w:val="0"/>
          <w:bCs w:val="0"/>
          <w:sz w:val="21"/>
          <w:szCs w:val="22"/>
          <w:lang w:val="en-US" w:eastAsia="zh-CN"/>
        </w:rPr>
      </w:pPr>
    </w:p>
    <w:p w14:paraId="43AB2B7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Definition of AI/ML-enabled Feature and functionality</w:t>
      </w:r>
    </w:p>
    <w:p w14:paraId="5602E3AD">
      <w:pPr>
        <w:spacing w:before="120" w:beforeLines="50" w:after="120" w:line="240" w:lineRule="auto"/>
        <w:rPr>
          <w:rFonts w:hint="default" w:ascii="Arial" w:hAnsi="Arial" w:cs="Arial"/>
          <w:lang w:eastAsia="zh-CN"/>
        </w:rPr>
      </w:pPr>
      <w:r>
        <w:rPr>
          <w:rFonts w:hint="eastAsia" w:ascii="Arial" w:hAnsi="Arial" w:eastAsia="等线" w:cs="Arial"/>
          <w:lang w:val="en-US" w:eastAsia="zh-CN"/>
        </w:rPr>
        <w:t>Based on</w:t>
      </w:r>
      <w:r>
        <w:rPr>
          <w:rFonts w:hint="default" w:ascii="Arial" w:hAnsi="Arial" w:eastAsia="等线" w:cs="Arial"/>
          <w:lang w:eastAsia="zh-CN"/>
        </w:rPr>
        <w:t xml:space="preserve"> </w:t>
      </w:r>
      <w:r>
        <w:rPr>
          <w:rFonts w:hint="default" w:ascii="Arial" w:hAnsi="Arial" w:cs="Arial"/>
          <w:lang w:eastAsia="zh-CN"/>
        </w:rPr>
        <w:t>TR 38.843</w:t>
      </w:r>
      <w:r>
        <w:rPr>
          <w:rFonts w:hint="eastAsia" w:ascii="Arial" w:hAnsi="Arial" w:cs="Arial"/>
          <w:lang w:val="en-US" w:eastAsia="zh-CN"/>
        </w:rPr>
        <w:t xml:space="preserve"> </w:t>
      </w:r>
      <w:r>
        <w:rPr>
          <w:rFonts w:hint="default" w:ascii="Arial" w:hAnsi="Arial" w:cs="Arial"/>
          <w:lang w:eastAsia="zh-CN"/>
        </w:rPr>
        <w:t xml:space="preserve">[3], we could observe that AI/ML-enabled Feature refers to a Feature where AI/ML may be used and </w:t>
      </w:r>
      <w:r>
        <w:rPr>
          <w:rFonts w:hint="default" w:ascii="Arial" w:hAnsi="Arial" w:cs="Arial"/>
        </w:rPr>
        <w:t xml:space="preserve">there may be either </w:t>
      </w:r>
      <w:r>
        <w:rPr>
          <w:rFonts w:hint="default" w:ascii="Arial" w:hAnsi="Arial" w:eastAsia="宋体" w:cs="Arial"/>
          <w:b w:val="0"/>
          <w:bCs w:val="0"/>
          <w:sz w:val="21"/>
          <w:szCs w:val="22"/>
          <w:lang w:val="en-US" w:eastAsia="zh-CN"/>
        </w:rPr>
        <w:t xml:space="preserve">one </w:t>
      </w:r>
      <w:r>
        <w:rPr>
          <w:rFonts w:hint="default" w:ascii="Arial" w:hAnsi="Arial" w:cs="Arial"/>
        </w:rPr>
        <w:t>or more than one Functionalities defined within an AI/ML-enabled feature</w:t>
      </w:r>
      <w:r>
        <w:rPr>
          <w:rFonts w:hint="default" w:ascii="Arial" w:hAnsi="Arial" w:cs="Arial"/>
          <w:lang w:eastAsia="zh-CN"/>
        </w:rPr>
        <w:t xml:space="preserve">. That means </w:t>
      </w:r>
      <w:r>
        <w:rPr>
          <w:rFonts w:hint="default" w:ascii="Arial" w:hAnsi="Arial" w:cs="Arial"/>
        </w:rPr>
        <w:t>functionality</w:t>
      </w:r>
      <w:r>
        <w:rPr>
          <w:rFonts w:hint="default" w:ascii="Arial" w:hAnsi="Arial" w:cs="Arial"/>
          <w:lang w:eastAsia="zh-CN"/>
        </w:rPr>
        <w:t xml:space="preserve"> could</w:t>
      </w:r>
      <w:r>
        <w:rPr>
          <w:rFonts w:hint="default" w:ascii="Arial" w:hAnsi="Arial" w:cs="Arial"/>
        </w:rPr>
        <w:t xml:space="preserve"> ha</w:t>
      </w:r>
      <w:r>
        <w:rPr>
          <w:rFonts w:hint="default" w:ascii="Arial" w:hAnsi="Arial" w:cs="Arial"/>
          <w:lang w:eastAsia="zh-CN"/>
        </w:rPr>
        <w:t>ve</w:t>
      </w:r>
      <w:r>
        <w:rPr>
          <w:rFonts w:hint="default" w:ascii="Arial" w:hAnsi="Arial" w:cs="Arial"/>
        </w:rPr>
        <w:t xml:space="preserve"> finer granularity than AI/ML-enabled feature</w:t>
      </w:r>
      <w:r>
        <w:rPr>
          <w:rFonts w:hint="default" w:ascii="Arial" w:hAnsi="Arial" w:cs="Arial"/>
          <w:lang w:eastAsia="zh-CN"/>
        </w:rPr>
        <w:t>.</w:t>
      </w:r>
    </w:p>
    <w:p w14:paraId="5877CC67">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During the study phase, direct prediction and indirect prediction are studied and evaluated for measurement event prediction. And for indirect prediction, RAN2 focus on sub-use case 2 (to directly predict cell level results based on cell level results) of RRM measurement prediction, and agreed the following definitions considering the options of RRM measurement prediction.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0620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60C52B7">
            <w:pPr>
              <w:keepNext w:val="0"/>
              <w:keepLines w:val="0"/>
              <w:pageBreakBefore w:val="0"/>
              <w:widowControl w:val="0"/>
              <w:tabs>
                <w:tab w:val="left" w:pos="1622"/>
              </w:tabs>
              <w:kinsoku/>
              <w:wordWrap/>
              <w:overflowPunct/>
              <w:topLinePunct w:val="0"/>
              <w:autoSpaceDE/>
              <w:autoSpaceDN/>
              <w:bidi w:val="0"/>
              <w:adjustRightInd/>
              <w:snapToGrid/>
              <w:spacing w:before="0" w:after="0"/>
              <w:ind w:left="363" w:hanging="363"/>
              <w:textAlignment w:val="auto"/>
              <w:rPr>
                <w:rFonts w:ascii="Arial" w:hAnsi="Arial" w:eastAsia="MS Mincho" w:cs="Times New Roman"/>
                <w:b/>
                <w:bCs/>
                <w:sz w:val="20"/>
                <w:szCs w:val="22"/>
                <w:lang w:val="en-GB" w:eastAsia="en-GB" w:bidi="ar-SA"/>
              </w:rPr>
            </w:pPr>
            <w:r>
              <w:rPr>
                <w:rFonts w:hint="eastAsia" w:ascii="Arial" w:hAnsi="Arial" w:eastAsia="宋体" w:cs="Times New Roman"/>
                <w:b/>
                <w:bCs/>
                <w:sz w:val="20"/>
                <w:szCs w:val="22"/>
                <w:lang w:val="en-US" w:eastAsia="zh-CN" w:bidi="ar-SA"/>
              </w:rPr>
              <w:t xml:space="preserve">RAN2#128 </w:t>
            </w:r>
            <w:r>
              <w:rPr>
                <w:rFonts w:ascii="Arial" w:hAnsi="Arial" w:eastAsia="MS Mincho" w:cs="Times New Roman"/>
                <w:b/>
                <w:bCs/>
                <w:sz w:val="20"/>
                <w:szCs w:val="22"/>
                <w:lang w:val="en-GB" w:eastAsia="en-GB" w:bidi="ar-SA"/>
              </w:rPr>
              <w:t>Agreements on event prediction</w:t>
            </w:r>
          </w:p>
          <w:p w14:paraId="11015A89">
            <w:pPr>
              <w:keepNext w:val="0"/>
              <w:keepLines w:val="0"/>
              <w:pageBreakBefore w:val="0"/>
              <w:widowControl w:val="0"/>
              <w:tabs>
                <w:tab w:val="left" w:pos="1622"/>
              </w:tabs>
              <w:kinsoku/>
              <w:wordWrap/>
              <w:overflowPunct/>
              <w:topLinePunct w:val="0"/>
              <w:autoSpaceDE/>
              <w:autoSpaceDN/>
              <w:bidi w:val="0"/>
              <w:adjustRightInd/>
              <w:snapToGrid/>
              <w:spacing w:before="0" w:after="0"/>
              <w:ind w:left="363" w:hanging="363"/>
              <w:textAlignment w:val="auto"/>
              <w:rPr>
                <w:rFonts w:ascii="Arial" w:hAnsi="Arial" w:eastAsia="MS Mincho" w:cs="Times New Roman"/>
                <w:sz w:val="20"/>
                <w:szCs w:val="22"/>
                <w:lang w:val="en-GB" w:eastAsia="en-GB" w:bidi="ar-SA"/>
              </w:rPr>
            </w:pPr>
            <w:r>
              <w:rPr>
                <w:rFonts w:ascii="Arial" w:hAnsi="Arial" w:eastAsia="MS Mincho" w:cs="Times New Roman"/>
                <w:sz w:val="20"/>
                <w:szCs w:val="22"/>
                <w:lang w:val="en-GB" w:eastAsia="en-GB" w:bidi="ar-SA"/>
              </w:rPr>
              <w:t xml:space="preserve">1 Agree to listed 4 definitions of indirect measurement event prediction </w:t>
            </w:r>
          </w:p>
          <w:p w14:paraId="3216957A">
            <w:pPr>
              <w:keepNext w:val="0"/>
              <w:keepLines w:val="0"/>
              <w:pageBreakBefore w:val="0"/>
              <w:widowControl w:val="0"/>
              <w:tabs>
                <w:tab w:val="left" w:pos="1622"/>
              </w:tabs>
              <w:kinsoku/>
              <w:wordWrap/>
              <w:overflowPunct/>
              <w:topLinePunct w:val="0"/>
              <w:autoSpaceDE/>
              <w:autoSpaceDN/>
              <w:bidi w:val="0"/>
              <w:adjustRightInd/>
              <w:snapToGrid/>
              <w:spacing w:before="0" w:after="0"/>
              <w:ind w:left="544" w:hanging="363"/>
              <w:textAlignment w:val="auto"/>
              <w:rPr>
                <w:rFonts w:ascii="Arial" w:hAnsi="Arial" w:eastAsia="MS Mincho" w:cs="Times New Roman"/>
                <w:i/>
                <w:iCs/>
                <w:sz w:val="20"/>
                <w:szCs w:val="22"/>
                <w:highlight w:val="yellow"/>
                <w:lang w:val="en-GB" w:eastAsia="en-GB" w:bidi="ar-SA"/>
              </w:rPr>
            </w:pPr>
            <w:r>
              <w:rPr>
                <w:rFonts w:hint="eastAsia" w:ascii="Arial" w:hAnsi="Arial" w:eastAsia="MS Mincho" w:cs="Times New Roman"/>
                <w:i/>
                <w:iCs/>
                <w:sz w:val="20"/>
                <w:szCs w:val="22"/>
                <w:highlight w:val="yellow"/>
                <w:lang w:val="en-GB" w:eastAsia="en-GB" w:bidi="ar-SA"/>
              </w:rPr>
              <w:t>I</w:t>
            </w:r>
            <w:r>
              <w:rPr>
                <w:rFonts w:ascii="Arial" w:hAnsi="Arial" w:eastAsia="MS Mincho" w:cs="Times New Roman"/>
                <w:i/>
                <w:iCs/>
                <w:sz w:val="20"/>
                <w:szCs w:val="22"/>
                <w:highlight w:val="yellow"/>
                <w:lang w:val="en-GB" w:eastAsia="en-GB" w:bidi="ar-SA"/>
              </w:rPr>
              <w:t>ndirect measurement event prediction for temporal domain case A:</w:t>
            </w:r>
          </w:p>
          <w:p w14:paraId="35D5F8AC">
            <w:pPr>
              <w:keepNext w:val="0"/>
              <w:keepLines w:val="0"/>
              <w:pageBreakBefore w:val="0"/>
              <w:widowControl w:val="0"/>
              <w:tabs>
                <w:tab w:val="left" w:pos="1622"/>
              </w:tabs>
              <w:kinsoku/>
              <w:wordWrap/>
              <w:overflowPunct/>
              <w:topLinePunct w:val="0"/>
              <w:autoSpaceDE/>
              <w:autoSpaceDN/>
              <w:bidi w:val="0"/>
              <w:adjustRightInd/>
              <w:snapToGrid/>
              <w:spacing w:before="0" w:after="0"/>
              <w:ind w:left="544" w:hanging="363"/>
              <w:textAlignment w:val="auto"/>
              <w:rPr>
                <w:rFonts w:ascii="Arial" w:hAnsi="Arial" w:eastAsia="MS Mincho" w:cs="Times New Roman"/>
                <w:sz w:val="20"/>
                <w:szCs w:val="22"/>
                <w:lang w:val="en-GB" w:eastAsia="en-GB" w:bidi="ar-SA"/>
              </w:rPr>
            </w:pPr>
            <w:r>
              <w:rPr>
                <w:rFonts w:ascii="Arial" w:hAnsi="Arial" w:eastAsia="MS Mincho" w:cs="Times New Roman"/>
                <w:sz w:val="20"/>
                <w:szCs w:val="22"/>
                <w:lang w:val="en-GB" w:eastAsia="en-GB" w:bidi="ar-SA"/>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1452083C">
            <w:pPr>
              <w:keepNext w:val="0"/>
              <w:keepLines w:val="0"/>
              <w:pageBreakBefore w:val="0"/>
              <w:widowControl w:val="0"/>
              <w:tabs>
                <w:tab w:val="left" w:pos="1622"/>
              </w:tabs>
              <w:kinsoku/>
              <w:wordWrap/>
              <w:overflowPunct/>
              <w:topLinePunct w:val="0"/>
              <w:autoSpaceDE/>
              <w:autoSpaceDN/>
              <w:bidi w:val="0"/>
              <w:adjustRightInd/>
              <w:snapToGrid/>
              <w:spacing w:before="0" w:after="0"/>
              <w:ind w:left="544" w:hanging="363"/>
              <w:textAlignment w:val="auto"/>
              <w:rPr>
                <w:rFonts w:ascii="Arial" w:hAnsi="Arial" w:eastAsia="MS Mincho" w:cs="Times New Roman"/>
                <w:i/>
                <w:iCs/>
                <w:sz w:val="20"/>
                <w:szCs w:val="22"/>
                <w:highlight w:val="yellow"/>
                <w:lang w:val="en-GB" w:eastAsia="en-GB" w:bidi="ar-SA"/>
              </w:rPr>
            </w:pPr>
            <w:r>
              <w:rPr>
                <w:rFonts w:hint="eastAsia" w:ascii="Arial" w:hAnsi="Arial" w:eastAsia="MS Mincho" w:cs="Times New Roman"/>
                <w:i/>
                <w:iCs/>
                <w:sz w:val="20"/>
                <w:szCs w:val="22"/>
                <w:highlight w:val="yellow"/>
                <w:lang w:val="en-GB" w:eastAsia="en-GB" w:bidi="ar-SA"/>
              </w:rPr>
              <w:t>I</w:t>
            </w:r>
            <w:r>
              <w:rPr>
                <w:rFonts w:ascii="Arial" w:hAnsi="Arial" w:eastAsia="MS Mincho" w:cs="Times New Roman"/>
                <w:i/>
                <w:iCs/>
                <w:sz w:val="20"/>
                <w:szCs w:val="22"/>
                <w:highlight w:val="yellow"/>
                <w:lang w:val="en-GB" w:eastAsia="en-GB" w:bidi="ar-SA"/>
              </w:rPr>
              <w:t>ndirect measurement event prediction for temporal domain case B:</w:t>
            </w:r>
          </w:p>
          <w:p w14:paraId="6000B90A">
            <w:pPr>
              <w:keepNext w:val="0"/>
              <w:keepLines w:val="0"/>
              <w:pageBreakBefore w:val="0"/>
              <w:widowControl w:val="0"/>
              <w:tabs>
                <w:tab w:val="left" w:pos="1622"/>
              </w:tabs>
              <w:kinsoku/>
              <w:wordWrap/>
              <w:overflowPunct/>
              <w:topLinePunct w:val="0"/>
              <w:autoSpaceDE/>
              <w:autoSpaceDN/>
              <w:bidi w:val="0"/>
              <w:adjustRightInd/>
              <w:snapToGrid/>
              <w:spacing w:before="0" w:after="0"/>
              <w:ind w:left="544" w:hanging="363"/>
              <w:textAlignment w:val="auto"/>
              <w:rPr>
                <w:rFonts w:ascii="Arial" w:hAnsi="Arial" w:eastAsia="MS Mincho" w:cs="Times New Roman"/>
                <w:sz w:val="20"/>
                <w:szCs w:val="22"/>
                <w:lang w:val="en-GB" w:eastAsia="en-GB" w:bidi="ar-SA"/>
              </w:rPr>
            </w:pPr>
            <w:r>
              <w:rPr>
                <w:rFonts w:ascii="Arial" w:hAnsi="Arial" w:eastAsia="MS Mincho" w:cs="Times New Roman"/>
                <w:sz w:val="20"/>
                <w:szCs w:val="22"/>
                <w:lang w:val="en-GB" w:eastAsia="en-GB" w:bidi="ar-SA"/>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1B2A289E">
            <w:pPr>
              <w:keepNext w:val="0"/>
              <w:keepLines w:val="0"/>
              <w:pageBreakBefore w:val="0"/>
              <w:widowControl w:val="0"/>
              <w:tabs>
                <w:tab w:val="left" w:pos="1622"/>
              </w:tabs>
              <w:kinsoku/>
              <w:wordWrap/>
              <w:overflowPunct/>
              <w:topLinePunct w:val="0"/>
              <w:autoSpaceDE/>
              <w:autoSpaceDN/>
              <w:bidi w:val="0"/>
              <w:adjustRightInd/>
              <w:snapToGrid/>
              <w:spacing w:before="0" w:after="0"/>
              <w:ind w:left="544" w:hanging="363"/>
              <w:textAlignment w:val="auto"/>
              <w:rPr>
                <w:rFonts w:ascii="Arial" w:hAnsi="Arial" w:eastAsia="MS Mincho" w:cs="Times New Roman"/>
                <w:i/>
                <w:iCs/>
                <w:sz w:val="20"/>
                <w:szCs w:val="22"/>
                <w:highlight w:val="yellow"/>
                <w:lang w:val="en-GB" w:eastAsia="en-GB" w:bidi="ar-SA"/>
              </w:rPr>
            </w:pPr>
            <w:r>
              <w:rPr>
                <w:rFonts w:hint="eastAsia" w:ascii="Arial" w:hAnsi="Arial" w:eastAsia="MS Mincho" w:cs="Times New Roman"/>
                <w:i/>
                <w:iCs/>
                <w:sz w:val="20"/>
                <w:szCs w:val="22"/>
                <w:highlight w:val="yellow"/>
                <w:lang w:val="en-GB" w:eastAsia="en-GB" w:bidi="ar-SA"/>
              </w:rPr>
              <w:t>I</w:t>
            </w:r>
            <w:r>
              <w:rPr>
                <w:rFonts w:ascii="Arial" w:hAnsi="Arial" w:eastAsia="MS Mincho" w:cs="Times New Roman"/>
                <w:i/>
                <w:iCs/>
                <w:sz w:val="20"/>
                <w:szCs w:val="22"/>
                <w:highlight w:val="yellow"/>
                <w:lang w:val="en-GB" w:eastAsia="en-GB" w:bidi="ar-SA"/>
              </w:rPr>
              <w:t>ndirect measurement event prediction for frequency domain:</w:t>
            </w:r>
          </w:p>
          <w:p w14:paraId="40140C74">
            <w:pPr>
              <w:keepNext w:val="0"/>
              <w:keepLines w:val="0"/>
              <w:pageBreakBefore w:val="0"/>
              <w:widowControl w:val="0"/>
              <w:tabs>
                <w:tab w:val="left" w:pos="1622"/>
              </w:tabs>
              <w:kinsoku/>
              <w:wordWrap/>
              <w:overflowPunct/>
              <w:topLinePunct w:val="0"/>
              <w:autoSpaceDE/>
              <w:autoSpaceDN/>
              <w:bidi w:val="0"/>
              <w:adjustRightInd/>
              <w:snapToGrid/>
              <w:spacing w:before="0" w:after="0"/>
              <w:ind w:left="544" w:hanging="363"/>
              <w:textAlignment w:val="auto"/>
              <w:rPr>
                <w:rFonts w:ascii="Arial" w:hAnsi="Arial" w:eastAsia="MS Mincho" w:cs="Times New Roman"/>
                <w:sz w:val="20"/>
                <w:szCs w:val="22"/>
                <w:lang w:val="en-GB" w:eastAsia="en-GB" w:bidi="ar-SA"/>
              </w:rPr>
            </w:pPr>
            <w:r>
              <w:rPr>
                <w:rFonts w:ascii="Arial" w:hAnsi="Arial" w:eastAsia="MS Mincho" w:cs="Times New Roman"/>
                <w:sz w:val="20"/>
                <w:szCs w:val="22"/>
                <w:lang w:val="en-GB" w:eastAsia="en-GB" w:bidi="ar-SA"/>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4D15EDF5">
            <w:pPr>
              <w:keepNext w:val="0"/>
              <w:keepLines w:val="0"/>
              <w:pageBreakBefore w:val="0"/>
              <w:widowControl w:val="0"/>
              <w:tabs>
                <w:tab w:val="left" w:pos="1622"/>
              </w:tabs>
              <w:kinsoku/>
              <w:wordWrap/>
              <w:overflowPunct/>
              <w:topLinePunct w:val="0"/>
              <w:autoSpaceDE/>
              <w:autoSpaceDN/>
              <w:bidi w:val="0"/>
              <w:adjustRightInd/>
              <w:snapToGrid/>
              <w:spacing w:before="0" w:after="0"/>
              <w:ind w:left="544" w:hanging="363"/>
              <w:textAlignment w:val="auto"/>
              <w:rPr>
                <w:rFonts w:ascii="Arial" w:hAnsi="Arial" w:eastAsia="MS Mincho" w:cs="Times New Roman"/>
                <w:i/>
                <w:iCs/>
                <w:sz w:val="20"/>
                <w:szCs w:val="22"/>
                <w:highlight w:val="yellow"/>
                <w:lang w:val="en-GB" w:eastAsia="en-GB" w:bidi="ar-SA"/>
              </w:rPr>
            </w:pPr>
            <w:r>
              <w:rPr>
                <w:rFonts w:hint="eastAsia" w:ascii="Arial" w:hAnsi="Arial" w:eastAsia="MS Mincho" w:cs="Times New Roman"/>
                <w:i/>
                <w:iCs/>
                <w:sz w:val="20"/>
                <w:szCs w:val="22"/>
                <w:highlight w:val="yellow"/>
                <w:lang w:val="en-GB" w:eastAsia="en-GB" w:bidi="ar-SA"/>
              </w:rPr>
              <w:t>I</w:t>
            </w:r>
            <w:r>
              <w:rPr>
                <w:rFonts w:ascii="Arial" w:hAnsi="Arial" w:eastAsia="MS Mincho" w:cs="Times New Roman"/>
                <w:i/>
                <w:iCs/>
                <w:sz w:val="20"/>
                <w:szCs w:val="22"/>
                <w:highlight w:val="yellow"/>
                <w:lang w:val="en-GB" w:eastAsia="en-GB" w:bidi="ar-SA"/>
              </w:rPr>
              <w:t>ndirect measurement event prediction for spatial domain:</w:t>
            </w:r>
          </w:p>
          <w:p w14:paraId="13A626C5">
            <w:pPr>
              <w:keepNext w:val="0"/>
              <w:keepLines w:val="0"/>
              <w:pageBreakBefore w:val="0"/>
              <w:widowControl w:val="0"/>
              <w:tabs>
                <w:tab w:val="left" w:pos="1622"/>
              </w:tabs>
              <w:kinsoku/>
              <w:wordWrap/>
              <w:overflowPunct/>
              <w:topLinePunct w:val="0"/>
              <w:autoSpaceDE/>
              <w:autoSpaceDN/>
              <w:bidi w:val="0"/>
              <w:adjustRightInd/>
              <w:snapToGrid/>
              <w:spacing w:before="0" w:after="0"/>
              <w:ind w:left="544" w:hanging="363"/>
              <w:textAlignment w:val="auto"/>
              <w:rPr>
                <w:rFonts w:hint="default" w:ascii="Arial" w:hAnsi="Arial" w:eastAsia="宋体" w:cs="Arial"/>
                <w:sz w:val="21"/>
                <w:szCs w:val="22"/>
                <w:vertAlign w:val="baseline"/>
                <w:lang w:val="en-US" w:eastAsia="zh-CN"/>
              </w:rPr>
            </w:pPr>
            <w:r>
              <w:rPr>
                <w:rFonts w:ascii="Arial" w:hAnsi="Arial" w:eastAsia="MS Mincho" w:cs="Times New Roman"/>
                <w:sz w:val="20"/>
                <w:szCs w:val="22"/>
                <w:lang w:val="en-GB" w:eastAsia="en-GB" w:bidi="ar-SA"/>
              </w:rPr>
              <w:t xml:space="preserve">In indirect measurement event prediction, measurement result(s) is predicted by a RRM measurement prediction model in spatial domain at first. Afterwards, predicted measurement result(s) </w:t>
            </w:r>
            <w:r>
              <w:rPr>
                <w:rFonts w:ascii="Arial" w:hAnsi="Arial" w:eastAsia="MS Mincho" w:cs="Times New Roman"/>
                <w:sz w:val="20"/>
                <w:szCs w:val="22"/>
                <w:u w:val="single"/>
                <w:lang w:val="en-GB" w:eastAsia="en-GB" w:bidi="ar-SA"/>
              </w:rPr>
              <w:t xml:space="preserve">and actual measurement results </w:t>
            </w:r>
            <w:r>
              <w:rPr>
                <w:rFonts w:ascii="Arial" w:hAnsi="Arial" w:eastAsia="MS Mincho" w:cs="Times New Roman"/>
                <w:sz w:val="20"/>
                <w:szCs w:val="22"/>
                <w:lang w:val="en-GB" w:eastAsia="en-GB" w:bidi="ar-SA"/>
              </w:rPr>
              <w:t>are used to derive whether a measurement event at one time instance occurs, without further involvement of an AI/ML model</w:t>
            </w:r>
          </w:p>
        </w:tc>
      </w:tr>
    </w:tbl>
    <w:p w14:paraId="1F3CA915">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Based on the above progress, we understand that AI/ML-enabled measurement event prediction can be a feature, and direct or indirect prediction can be functionality. For indirect prediction, the functionality can be further refined into indirect measurement event prediction for temporal domain case A, temporal domain case B, frequency domain and spatial domain. RAN2 can discuss which granularity will be applied for functionality of measurement event prediction.</w:t>
      </w:r>
    </w:p>
    <w:p w14:paraId="3B8E59E8">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1: RAN2 to discuss the granularity of functionality for measurement event prediction:</w:t>
      </w:r>
    </w:p>
    <w:p w14:paraId="1A63355D">
      <w:pPr>
        <w:spacing w:before="120" w:beforeLines="50" w:after="120" w:line="240" w:lineRule="auto"/>
        <w:ind w:leftChars="100"/>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Direct prediction and indirect prediction</w:t>
      </w:r>
    </w:p>
    <w:p w14:paraId="382DC8AC">
      <w:pPr>
        <w:spacing w:before="120" w:beforeLines="50" w:after="120" w:line="240" w:lineRule="auto"/>
        <w:ind w:leftChars="100"/>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For indirect prediction, the functionality can be further refined into indirect measurement event prediction for temporal domain case A, temporal domain case B, frequency domain and spatial domain</w:t>
      </w:r>
    </w:p>
    <w:p w14:paraId="015A2F0D">
      <w:pPr>
        <w:spacing w:before="120" w:beforeLines="50" w:after="120" w:line="240" w:lineRule="auto"/>
        <w:rPr>
          <w:rFonts w:hint="default" w:ascii="Arial" w:hAnsi="Arial" w:eastAsia="宋体" w:cs="Arial"/>
          <w:sz w:val="21"/>
          <w:szCs w:val="22"/>
          <w:lang w:val="en-US" w:eastAsia="zh-CN"/>
        </w:rPr>
      </w:pPr>
    </w:p>
    <w:p w14:paraId="34DB0E5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UE capability and Applicable functionality reporting</w:t>
      </w:r>
    </w:p>
    <w:p w14:paraId="252960ED">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Since only UE-sided model is considered for measurement event prediction, the UE capability and applicable functionality reporting can reuse the procedure defined for AI/ML based beam management with UE-sided model.</w:t>
      </w:r>
    </w:p>
    <w:p w14:paraId="673C433C">
      <w:pPr>
        <w:jc w:val="center"/>
      </w:pPr>
      <w:r>
        <w:object>
          <v:shape id="_x0000_i1025" o:spt="75" type="#_x0000_t75" style="height:296.25pt;width:360.15pt;" o:ole="t" filled="f" o:preferrelative="t" stroked="f" coordsize="21600,21600">
            <v:path/>
            <v:fill on="f" focussize="0,0"/>
            <v:stroke on="f" weight="3pt"/>
            <v:imagedata r:id="rId5" o:title=""/>
            <o:lock v:ext="edit" aspectratio="t"/>
            <w10:wrap type="none"/>
            <w10:anchorlock/>
          </v:shape>
          <o:OLEObject Type="Embed" ProgID="Visio.Drawing.15" ShapeID="_x0000_i1025" DrawAspect="Content" ObjectID="_1468075725" r:id="rId4">
            <o:LockedField>false</o:LockedField>
          </o:OLEObject>
        </w:object>
      </w:r>
    </w:p>
    <w:p w14:paraId="5902B871">
      <w:pPr>
        <w:jc w:val="center"/>
        <w:rPr>
          <w:rFonts w:hint="default" w:ascii="Arial" w:hAnsi="Arial" w:cs="Arial" w:eastAsiaTheme="minorEastAsia"/>
          <w:lang w:val="en-US" w:eastAsia="zh-CN"/>
        </w:rPr>
      </w:pPr>
      <w:r>
        <w:rPr>
          <w:rFonts w:hint="default" w:ascii="Arial" w:hAnsi="Arial" w:cs="Arial"/>
          <w:lang w:val="en-US" w:eastAsia="zh-CN"/>
        </w:rPr>
        <w:t>Fig 1. Basic procedure for applicab</w:t>
      </w:r>
      <w:r>
        <w:rPr>
          <w:rFonts w:hint="eastAsia" w:ascii="Arial" w:hAnsi="Arial" w:cs="Arial"/>
          <w:lang w:val="en-US" w:eastAsia="zh-CN"/>
        </w:rPr>
        <w:t>le</w:t>
      </w:r>
      <w:r>
        <w:rPr>
          <w:rFonts w:hint="default" w:ascii="Arial" w:hAnsi="Arial" w:cs="Arial"/>
          <w:lang w:val="en-US" w:eastAsia="zh-CN"/>
        </w:rPr>
        <w:t xml:space="preserve"> functionality reporting</w:t>
      </w:r>
    </w:p>
    <w:p w14:paraId="3E501C49">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2: The UE capability and applicable functionality reporting procedure defined for AI/ML based beam management can be reused for AI/ML based measurement event prediction with UE-sided model.</w:t>
      </w:r>
    </w:p>
    <w:p w14:paraId="0931E201">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For the content of full inference configuration and/or inference related information, the following aspects can be further discussed:</w:t>
      </w:r>
    </w:p>
    <w:p w14:paraId="0E10199C">
      <w:pPr>
        <w:pStyle w:val="23"/>
        <w:widowControl/>
        <w:numPr>
          <w:ilvl w:val="0"/>
          <w:numId w:val="7"/>
        </w:numPr>
        <w:spacing w:after="180"/>
        <w:ind w:left="442" w:leftChars="0" w:hanging="442" w:firstLineChars="0"/>
        <w:jc w:val="both"/>
        <w:rPr>
          <w:rFonts w:hint="default" w:ascii="Arial" w:hAnsi="Arial" w:eastAsia="宋体" w:cs="Arial"/>
          <w:sz w:val="21"/>
          <w:szCs w:val="22"/>
          <w:lang w:val="en-US" w:eastAsia="zh-CN"/>
        </w:rPr>
      </w:pPr>
      <w:r>
        <w:rPr>
          <w:rFonts w:hint="default" w:ascii="Arial" w:hAnsi="Arial" w:eastAsia="宋体" w:cs="Arial"/>
          <w:sz w:val="21"/>
          <w:szCs w:val="22"/>
          <w:lang w:val="en-US" w:eastAsia="zh-CN"/>
        </w:rPr>
        <w:t xml:space="preserve">For </w:t>
      </w:r>
      <w:r>
        <w:rPr>
          <w:rFonts w:hint="default" w:ascii="Arial" w:hAnsi="Arial" w:cs="Arial" w:eastAsiaTheme="minorEastAsia"/>
          <w:kern w:val="0"/>
          <w:sz w:val="20"/>
          <w:szCs w:val="24"/>
          <w:lang w:val="en-US" w:eastAsia="zh-CN"/>
        </w:rPr>
        <w:t xml:space="preserve">direct </w:t>
      </w:r>
      <w:r>
        <w:rPr>
          <w:rFonts w:hint="default" w:ascii="Arial" w:hAnsi="Arial" w:eastAsia="宋体" w:cs="Arial"/>
          <w:sz w:val="21"/>
          <w:szCs w:val="22"/>
          <w:lang w:val="en-US" w:eastAsia="zh-CN"/>
        </w:rPr>
        <w:t>prediction:</w:t>
      </w:r>
    </w:p>
    <w:p w14:paraId="41149A03">
      <w:pPr>
        <w:spacing w:before="120" w:beforeLines="50" w:after="120" w:line="240" w:lineRule="auto"/>
        <w:ind w:leftChars="200"/>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observation window, prediction window, model input and output related info (e.g., L3 cell level RSRP), event related info (e.g. event offset, TTT)</w:t>
      </w:r>
    </w:p>
    <w:p w14:paraId="17CCA013">
      <w:pPr>
        <w:spacing w:before="120" w:beforeLines="50" w:after="120" w:line="240" w:lineRule="auto"/>
        <w:ind w:leftChars="200"/>
        <w:rPr>
          <w:rFonts w:hint="default" w:ascii="Arial" w:hAnsi="Arial" w:eastAsia="宋体" w:cs="Arial"/>
          <w:sz w:val="21"/>
          <w:szCs w:val="22"/>
          <w:lang w:val="en-US" w:eastAsia="zh-CN"/>
        </w:rPr>
      </w:pPr>
      <w:r>
        <w:rPr>
          <w:rFonts w:hint="eastAsia" w:ascii="Arial" w:hAnsi="Arial" w:eastAsia="宋体" w:cs="Arial"/>
          <w:sz w:val="21"/>
          <w:szCs w:val="22"/>
          <w:lang w:val="en-US" w:eastAsia="zh-CN"/>
        </w:rPr>
        <w:t>- associated ID, which is introduced in AI/ML for Air Interface, and indicates the network-side additional condition</w:t>
      </w:r>
    </w:p>
    <w:p w14:paraId="4CF267EC">
      <w:pPr>
        <w:pStyle w:val="23"/>
        <w:widowControl/>
        <w:numPr>
          <w:ilvl w:val="0"/>
          <w:numId w:val="7"/>
        </w:numPr>
        <w:spacing w:after="180"/>
        <w:ind w:left="442" w:leftChars="0" w:hanging="442" w:firstLineChars="0"/>
        <w:jc w:val="both"/>
        <w:rPr>
          <w:rFonts w:hint="eastAsia" w:ascii="Arial" w:hAnsi="Arial" w:eastAsia="宋体" w:cs="Arial"/>
          <w:sz w:val="21"/>
          <w:szCs w:val="22"/>
          <w:lang w:val="en-US" w:eastAsia="zh-CN"/>
        </w:rPr>
      </w:pPr>
      <w:r>
        <w:rPr>
          <w:rFonts w:hint="eastAsia" w:ascii="Arial" w:hAnsi="Arial" w:eastAsia="宋体" w:cs="Arial"/>
          <w:sz w:val="21"/>
          <w:szCs w:val="22"/>
          <w:lang w:val="en-US" w:eastAsia="zh-CN"/>
        </w:rPr>
        <w:t>For indirect prediction:</w:t>
      </w:r>
    </w:p>
    <w:p w14:paraId="746CA8D5">
      <w:pPr>
        <w:spacing w:before="120" w:beforeLines="50" w:after="120" w:line="240" w:lineRule="auto"/>
        <w:ind w:leftChars="200"/>
        <w:rPr>
          <w:rFonts w:hint="default" w:ascii="Arial" w:hAnsi="Arial" w:eastAsia="宋体" w:cs="Arial"/>
          <w:sz w:val="21"/>
          <w:szCs w:val="22"/>
          <w:lang w:val="en-US" w:eastAsia="zh-CN"/>
        </w:rPr>
      </w:pPr>
      <w:r>
        <w:rPr>
          <w:rFonts w:hint="eastAsia" w:ascii="Arial" w:hAnsi="Arial" w:eastAsia="宋体" w:cs="Arial"/>
          <w:sz w:val="21"/>
          <w:szCs w:val="22"/>
          <w:lang w:val="en-US" w:eastAsia="zh-CN"/>
        </w:rPr>
        <w:t>- similar to RRM measurement prediction, e.g. observation window, prediction window, model input and output related info, MRRT, frequency info, sample period</w:t>
      </w:r>
    </w:p>
    <w:p w14:paraId="2EE0B054">
      <w:pPr>
        <w:spacing w:before="120" w:beforeLines="50" w:after="120" w:line="240" w:lineRule="auto"/>
        <w:ind w:leftChars="200"/>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event related info (e.g. event offset, TTT)</w:t>
      </w:r>
    </w:p>
    <w:p w14:paraId="5DD7D7EA">
      <w:pPr>
        <w:spacing w:before="120" w:beforeLines="50" w:after="120" w:line="240" w:lineRule="auto"/>
        <w:ind w:leftChars="200"/>
        <w:rPr>
          <w:rFonts w:hint="default" w:ascii="Arial" w:hAnsi="Arial" w:eastAsia="宋体" w:cs="Arial"/>
          <w:sz w:val="21"/>
          <w:szCs w:val="22"/>
          <w:lang w:val="en-US" w:eastAsia="zh-CN"/>
        </w:rPr>
      </w:pPr>
      <w:r>
        <w:rPr>
          <w:rFonts w:hint="eastAsia" w:ascii="Arial" w:hAnsi="Arial" w:eastAsia="宋体" w:cs="Arial"/>
          <w:sz w:val="21"/>
          <w:szCs w:val="22"/>
          <w:lang w:val="en-US" w:eastAsia="zh-CN"/>
        </w:rPr>
        <w:t>- associated ID</w:t>
      </w:r>
    </w:p>
    <w:p w14:paraId="3BE06F78">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3: RAN2 to discuss the content of full inference configuration and/or inference related information for direct and indirect prediction respectively, and take the above content as starting point.</w:t>
      </w:r>
    </w:p>
    <w:p w14:paraId="0BBD7E15">
      <w:pPr>
        <w:spacing w:before="120" w:beforeLines="50" w:after="120" w:line="240" w:lineRule="auto"/>
        <w:rPr>
          <w:rFonts w:hint="eastAsia" w:ascii="Arial" w:hAnsi="Arial" w:eastAsia="宋体" w:cs="Arial"/>
          <w:sz w:val="21"/>
          <w:szCs w:val="22"/>
          <w:lang w:val="en-US" w:eastAsia="zh-CN"/>
        </w:rPr>
      </w:pPr>
    </w:p>
    <w:p w14:paraId="1F8FB07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sz w:val="21"/>
          <w:szCs w:val="22"/>
          <w:lang w:val="en-US" w:eastAsia="zh-CN"/>
        </w:rPr>
      </w:pPr>
      <w:r>
        <w:rPr>
          <w:rFonts w:hint="eastAsia" w:ascii="Arial" w:hAnsi="Arial" w:cs="Arial"/>
          <w:b w:val="0"/>
          <w:bCs/>
          <w:sz w:val="28"/>
          <w:szCs w:val="28"/>
          <w:lang w:val="en-US" w:eastAsia="zh-CN"/>
        </w:rPr>
        <w:t>2.3 Functionality management</w:t>
      </w:r>
    </w:p>
    <w:p w14:paraId="6E719B18">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During the discussion on AI/ML for Air Interface WI, RAN2 discussed the following options for functionality/model management for UE-sided model, and agreed that option 1a (Network decision, network-initiated AI/ML management) is as baseline, and option 2c is not considered in R19.</w:t>
      </w:r>
    </w:p>
    <w:p w14:paraId="410615CB">
      <w:pPr>
        <w:numPr>
          <w:ilvl w:val="0"/>
          <w:numId w:val="7"/>
        </w:numPr>
        <w:spacing w:after="180"/>
        <w:ind w:left="442" w:leftChars="0" w:hanging="442"/>
        <w:jc w:val="both"/>
        <w:rPr>
          <w:rFonts w:hint="default" w:ascii="Arial" w:hAnsi="Arial" w:cs="Arial" w:eastAsiaTheme="minorEastAsia"/>
          <w:sz w:val="21"/>
          <w:szCs w:val="21"/>
          <w:lang w:val="fr-FR" w:eastAsia="zh-CN" w:bidi="ar-SA"/>
        </w:rPr>
      </w:pPr>
      <w:r>
        <w:rPr>
          <w:rFonts w:hint="default" w:ascii="Arial" w:hAnsi="Arial" w:cs="Arial" w:eastAsiaTheme="minorEastAsia"/>
          <w:sz w:val="21"/>
          <w:szCs w:val="21"/>
          <w:lang w:val="fr-FR" w:eastAsia="zh-CN" w:bidi="ar-SA"/>
        </w:rPr>
        <w:t>Option 1</w:t>
      </w:r>
      <w:r>
        <w:rPr>
          <w:rFonts w:hint="eastAsia" w:ascii="Arial" w:hAnsi="Arial" w:cs="Arial" w:eastAsiaTheme="minorEastAsia"/>
          <w:sz w:val="21"/>
          <w:szCs w:val="21"/>
          <w:lang w:val="en-US" w:eastAsia="zh-CN" w:bidi="ar-SA"/>
        </w:rPr>
        <w:t xml:space="preserve">: </w:t>
      </w:r>
      <w:r>
        <w:rPr>
          <w:rFonts w:hint="default" w:ascii="Arial" w:hAnsi="Arial" w:cs="Arial" w:eastAsiaTheme="minorEastAsia"/>
          <w:sz w:val="21"/>
          <w:szCs w:val="21"/>
          <w:lang w:val="fr-FR" w:eastAsia="zh-CN" w:bidi="ar-SA"/>
        </w:rPr>
        <w:t>Decision by the network</w:t>
      </w:r>
    </w:p>
    <w:p w14:paraId="5B073B36">
      <w:pPr>
        <w:widowControl/>
        <w:spacing w:after="180"/>
        <w:ind w:left="420" w:leftChars="200"/>
        <w:jc w:val="both"/>
        <w:rPr>
          <w:rFonts w:hint="default" w:ascii="Arial" w:hAnsi="Arial" w:eastAsia="等线" w:cs="Arial"/>
          <w:kern w:val="0"/>
          <w:sz w:val="21"/>
          <w:szCs w:val="21"/>
          <w:lang w:val="en-GB" w:eastAsia="zh-CN"/>
        </w:rPr>
      </w:pPr>
      <w:r>
        <w:rPr>
          <w:rFonts w:hint="default" w:ascii="Arial" w:hAnsi="Arial" w:eastAsia="等线" w:cs="Arial"/>
          <w:kern w:val="0"/>
          <w:sz w:val="21"/>
          <w:szCs w:val="21"/>
          <w:lang w:val="en-GB" w:eastAsia="zh-CN"/>
        </w:rPr>
        <w:t>1a) Network-initiated</w:t>
      </w:r>
    </w:p>
    <w:p w14:paraId="319634B8">
      <w:pPr>
        <w:widowControl/>
        <w:spacing w:after="180"/>
        <w:ind w:left="420" w:leftChars="200"/>
        <w:jc w:val="both"/>
        <w:rPr>
          <w:rFonts w:hint="default" w:ascii="Arial" w:hAnsi="Arial" w:eastAsia="等线" w:cs="Arial"/>
          <w:kern w:val="0"/>
          <w:sz w:val="21"/>
          <w:szCs w:val="21"/>
          <w:lang w:val="en-GB" w:eastAsia="zh-CN"/>
        </w:rPr>
      </w:pPr>
      <w:r>
        <w:rPr>
          <w:rFonts w:hint="default" w:ascii="Arial" w:hAnsi="Arial" w:eastAsia="等线" w:cs="Arial"/>
          <w:kern w:val="0"/>
          <w:sz w:val="21"/>
          <w:szCs w:val="21"/>
          <w:lang w:val="en-GB" w:eastAsia="zh-CN"/>
        </w:rPr>
        <w:t>1b) UE-initiated and requested to the network</w:t>
      </w:r>
    </w:p>
    <w:p w14:paraId="40A74A22">
      <w:pPr>
        <w:numPr>
          <w:ilvl w:val="0"/>
          <w:numId w:val="7"/>
        </w:numPr>
        <w:spacing w:after="180"/>
        <w:ind w:left="442" w:leftChars="0" w:hanging="442"/>
        <w:jc w:val="both"/>
        <w:rPr>
          <w:rFonts w:hint="default" w:ascii="Arial" w:hAnsi="Arial" w:cs="Arial" w:eastAsiaTheme="minorEastAsia"/>
          <w:sz w:val="21"/>
          <w:szCs w:val="21"/>
          <w:lang w:val="fr-FR" w:eastAsia="zh-CN" w:bidi="ar-SA"/>
        </w:rPr>
      </w:pPr>
      <w:r>
        <w:rPr>
          <w:rFonts w:hint="default" w:ascii="Arial" w:hAnsi="Arial" w:cs="Arial" w:eastAsiaTheme="minorEastAsia"/>
          <w:sz w:val="21"/>
          <w:szCs w:val="21"/>
          <w:lang w:val="fr-FR" w:eastAsia="zh-CN" w:bidi="ar-SA"/>
        </w:rPr>
        <w:t>Option 2</w:t>
      </w:r>
      <w:r>
        <w:rPr>
          <w:rFonts w:hint="eastAsia" w:ascii="Arial" w:hAnsi="Arial" w:cs="Arial" w:eastAsiaTheme="minorEastAsia"/>
          <w:sz w:val="21"/>
          <w:szCs w:val="21"/>
          <w:lang w:val="en-US" w:eastAsia="zh-CN" w:bidi="ar-SA"/>
        </w:rPr>
        <w:t xml:space="preserve">: </w:t>
      </w:r>
      <w:r>
        <w:rPr>
          <w:rFonts w:hint="default" w:ascii="Arial" w:hAnsi="Arial" w:cs="Arial" w:eastAsiaTheme="minorEastAsia"/>
          <w:sz w:val="21"/>
          <w:szCs w:val="21"/>
          <w:lang w:val="fr-FR" w:eastAsia="zh-CN" w:bidi="ar-SA"/>
        </w:rPr>
        <w:t>Decision by the UE</w:t>
      </w:r>
    </w:p>
    <w:p w14:paraId="28F91CDE">
      <w:pPr>
        <w:widowControl/>
        <w:spacing w:after="180"/>
        <w:ind w:left="420" w:leftChars="200"/>
        <w:jc w:val="both"/>
        <w:rPr>
          <w:rFonts w:hint="default" w:ascii="Arial" w:hAnsi="Arial" w:eastAsia="等线" w:cs="Arial"/>
          <w:kern w:val="0"/>
          <w:sz w:val="21"/>
          <w:szCs w:val="21"/>
          <w:lang w:val="en-GB" w:eastAsia="zh-CN"/>
        </w:rPr>
      </w:pPr>
      <w:r>
        <w:rPr>
          <w:rFonts w:hint="default" w:ascii="Arial" w:hAnsi="Arial" w:eastAsia="等线" w:cs="Arial"/>
          <w:kern w:val="0"/>
          <w:sz w:val="21"/>
          <w:szCs w:val="21"/>
          <w:lang w:val="en-GB" w:eastAsia="zh-CN"/>
        </w:rPr>
        <w:t>2a) Event-triggered as configured by the network, UE’s decision is reported to the network</w:t>
      </w:r>
    </w:p>
    <w:p w14:paraId="09E657A2">
      <w:pPr>
        <w:widowControl/>
        <w:spacing w:after="180"/>
        <w:ind w:left="420" w:leftChars="200"/>
        <w:jc w:val="both"/>
        <w:rPr>
          <w:rFonts w:hint="default" w:ascii="Arial" w:hAnsi="Arial" w:eastAsia="等线" w:cs="Arial"/>
          <w:kern w:val="0"/>
          <w:sz w:val="21"/>
          <w:szCs w:val="21"/>
          <w:lang w:val="en-GB" w:eastAsia="zh-CN"/>
        </w:rPr>
      </w:pPr>
      <w:r>
        <w:rPr>
          <w:rFonts w:hint="default" w:ascii="Arial" w:hAnsi="Arial" w:eastAsia="等线" w:cs="Arial"/>
          <w:kern w:val="0"/>
          <w:sz w:val="21"/>
          <w:szCs w:val="21"/>
          <w:lang w:val="en-GB" w:eastAsia="zh-CN"/>
        </w:rPr>
        <w:t>2b) UE-autonomous, UE’s decision is reported to the network</w:t>
      </w:r>
    </w:p>
    <w:p w14:paraId="025DDA49">
      <w:pPr>
        <w:widowControl/>
        <w:spacing w:after="180"/>
        <w:ind w:left="420" w:leftChars="200"/>
        <w:jc w:val="both"/>
        <w:rPr>
          <w:rFonts w:hint="default" w:ascii="Arial" w:hAnsi="Arial" w:eastAsia="等线" w:cs="Arial"/>
          <w:kern w:val="0"/>
          <w:sz w:val="21"/>
          <w:szCs w:val="21"/>
          <w:lang w:val="en-GB" w:eastAsia="zh-CN"/>
        </w:rPr>
      </w:pPr>
      <w:r>
        <w:rPr>
          <w:rFonts w:hint="default" w:ascii="Arial" w:hAnsi="Arial" w:eastAsia="等线" w:cs="Arial"/>
          <w:kern w:val="0"/>
          <w:sz w:val="21"/>
          <w:szCs w:val="21"/>
          <w:lang w:val="en-GB" w:eastAsia="zh-CN"/>
        </w:rPr>
        <w:t>2c) UE-autonomous, UE’s decision is not reported to the network</w:t>
      </w:r>
    </w:p>
    <w:p w14:paraId="0AAF07D6">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For AI/ML for mobility, the similar mechanism can be reused for measurement event prediction with UE-sided model.</w:t>
      </w:r>
    </w:p>
    <w:p w14:paraId="36FCEB5C">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4: Option 1a (Network decision, network-initiated AI/ML management) can be used as baseline for AI/ML based measurement event prediction with UE-sided model.</w:t>
      </w:r>
    </w:p>
    <w:p w14:paraId="13968B73">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Furthermore, RAN2 should focus on the discussion on information reported by UE to assist the network to make decision on management, for example,</w:t>
      </w:r>
    </w:p>
    <w:p w14:paraId="3D55D4F4">
      <w:pPr>
        <w:spacing w:before="120" w:beforeLines="50" w:after="120" w:line="240" w:lineRule="auto"/>
        <w:ind w:leftChars="100"/>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the monitoring related info, e.g. KPIs for indirect prediction (prediction accuracy of RRM measurement), or for direct prediction (F1-score)</w:t>
      </w:r>
    </w:p>
    <w:p w14:paraId="5BB6719C">
      <w:pPr>
        <w:spacing w:before="120" w:beforeLines="50" w:after="120" w:line="240" w:lineRule="auto"/>
        <w:ind w:leftChars="100"/>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the real measurement results</w:t>
      </w:r>
    </w:p>
    <w:p w14:paraId="063D519D">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5: RAN2 to discuss the information reported by the UE to assist the network to make decision on management, e.g. monitoring related info, real measurement results.</w:t>
      </w:r>
    </w:p>
    <w:p w14:paraId="6720DE07">
      <w:pPr>
        <w:spacing w:before="120" w:beforeLines="50" w:after="120" w:line="240" w:lineRule="auto"/>
        <w:rPr>
          <w:rFonts w:hint="eastAsia" w:ascii="Arial" w:hAnsi="Arial" w:eastAsia="宋体" w:cs="Arial"/>
          <w:sz w:val="21"/>
          <w:szCs w:val="22"/>
          <w:lang w:val="en-US" w:eastAsia="zh-CN"/>
        </w:rPr>
      </w:pPr>
    </w:p>
    <w:p w14:paraId="757DEB1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sz w:val="21"/>
          <w:szCs w:val="22"/>
          <w:lang w:val="en-US" w:eastAsia="zh-CN"/>
        </w:rPr>
      </w:pPr>
      <w:r>
        <w:rPr>
          <w:rFonts w:hint="eastAsia" w:ascii="Arial" w:hAnsi="Arial" w:cs="Arial"/>
          <w:b w:val="0"/>
          <w:bCs/>
          <w:sz w:val="28"/>
          <w:szCs w:val="28"/>
          <w:lang w:val="en-US" w:eastAsia="zh-CN"/>
        </w:rPr>
        <w:t>2.4 Data collection</w:t>
      </w:r>
    </w:p>
    <w:p w14:paraId="42CB1A7A">
      <w:pPr>
        <w:jc w:val="both"/>
        <w:rPr>
          <w:rFonts w:hint="default" w:ascii="Arial" w:hAnsi="Arial" w:eastAsia="等线" w:cs="Arial"/>
          <w:b/>
          <w:bCs/>
          <w:u w:val="single"/>
          <w:lang w:val="en-US" w:eastAsia="zh-CN"/>
        </w:rPr>
      </w:pPr>
      <w:r>
        <w:rPr>
          <w:rFonts w:hint="default" w:ascii="Arial" w:hAnsi="Arial" w:eastAsia="等线" w:cs="Arial"/>
          <w:b/>
          <w:bCs/>
          <w:u w:val="single"/>
          <w:lang w:val="en-US" w:eastAsia="zh-CN"/>
        </w:rPr>
        <w:t>Data collection for training</w:t>
      </w:r>
    </w:p>
    <w:p w14:paraId="23D36528">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For the collected data transfer in AI/ML for Air Interface, RAN2 discussed the following potential solutions and has no consensus for now.</w:t>
      </w:r>
    </w:p>
    <w:p w14:paraId="30BC3C80">
      <w:pPr>
        <w:numPr>
          <w:ilvl w:val="0"/>
          <w:numId w:val="7"/>
        </w:numPr>
        <w:spacing w:after="180"/>
        <w:ind w:left="442" w:leftChars="0" w:hanging="442"/>
        <w:jc w:val="both"/>
        <w:rPr>
          <w:rFonts w:hint="default" w:ascii="Arial" w:hAnsi="Arial" w:cs="Arial" w:eastAsiaTheme="minorEastAsia"/>
          <w:sz w:val="21"/>
          <w:szCs w:val="21"/>
          <w:lang w:val="fr-FR" w:eastAsia="zh-CN" w:bidi="ar-SA"/>
        </w:rPr>
      </w:pPr>
      <w:r>
        <w:rPr>
          <w:rFonts w:hint="default" w:ascii="Arial" w:hAnsi="Arial" w:cs="Arial" w:eastAsiaTheme="minorEastAsia"/>
          <w:sz w:val="21"/>
          <w:szCs w:val="21"/>
          <w:lang w:val="fr-FR" w:eastAsia="zh-CN" w:bidi="ar-SA"/>
        </w:rPr>
        <w:t>Option 1: UE collects and directly transfers training data to the Over-The-Top (OTT) server</w:t>
      </w:r>
    </w:p>
    <w:p w14:paraId="0CFFD5B0">
      <w:pPr>
        <w:widowControl/>
        <w:spacing w:after="180"/>
        <w:ind w:left="420" w:leftChars="200"/>
        <w:jc w:val="both"/>
        <w:rPr>
          <w:rFonts w:hint="default" w:ascii="Arial" w:hAnsi="Arial" w:eastAsia="等线" w:cs="Arial"/>
          <w:kern w:val="0"/>
          <w:sz w:val="21"/>
          <w:szCs w:val="21"/>
          <w:lang w:val="en-GB" w:eastAsia="zh-CN"/>
        </w:rPr>
      </w:pPr>
      <w:r>
        <w:rPr>
          <w:rFonts w:hint="default" w:ascii="Arial" w:hAnsi="Arial" w:eastAsia="等线" w:cs="Arial"/>
          <w:kern w:val="0"/>
          <w:sz w:val="21"/>
          <w:szCs w:val="21"/>
          <w:lang w:val="en-GB" w:eastAsia="zh-CN"/>
        </w:rPr>
        <w:t>1a) OTT (3GPP transparent)</w:t>
      </w:r>
    </w:p>
    <w:p w14:paraId="44122D94">
      <w:pPr>
        <w:widowControl/>
        <w:spacing w:after="180"/>
        <w:ind w:left="420" w:leftChars="200"/>
        <w:jc w:val="both"/>
        <w:rPr>
          <w:rFonts w:hint="default" w:ascii="Arial" w:hAnsi="Arial" w:eastAsia="等线" w:cs="Arial"/>
          <w:kern w:val="0"/>
          <w:sz w:val="21"/>
          <w:szCs w:val="21"/>
          <w:lang w:val="en-GB" w:eastAsia="zh-CN"/>
        </w:rPr>
      </w:pPr>
      <w:r>
        <w:rPr>
          <w:rFonts w:hint="default" w:ascii="Arial" w:hAnsi="Arial" w:eastAsia="等线" w:cs="Arial"/>
          <w:kern w:val="0"/>
          <w:sz w:val="21"/>
          <w:szCs w:val="21"/>
          <w:lang w:val="en-GB" w:eastAsia="zh-CN"/>
        </w:rPr>
        <w:t xml:space="preserve">1b) OTT (non-3GPP transparent) </w:t>
      </w:r>
    </w:p>
    <w:p w14:paraId="3630D676">
      <w:pPr>
        <w:numPr>
          <w:ilvl w:val="0"/>
          <w:numId w:val="7"/>
        </w:numPr>
        <w:spacing w:after="180"/>
        <w:ind w:left="442" w:leftChars="0" w:hanging="442"/>
        <w:jc w:val="both"/>
        <w:rPr>
          <w:rFonts w:hint="default" w:ascii="Arial" w:hAnsi="Arial" w:cs="Arial" w:eastAsiaTheme="minorEastAsia"/>
          <w:sz w:val="21"/>
          <w:szCs w:val="21"/>
          <w:lang w:val="fr-FR" w:eastAsia="zh-CN" w:bidi="ar-SA"/>
        </w:rPr>
      </w:pPr>
      <w:r>
        <w:rPr>
          <w:rFonts w:hint="default" w:ascii="Arial" w:hAnsi="Arial" w:cs="Arial" w:eastAsiaTheme="minorEastAsia"/>
          <w:sz w:val="21"/>
          <w:szCs w:val="21"/>
          <w:lang w:val="fr-FR" w:eastAsia="zh-CN" w:bidi="ar-SA"/>
        </w:rPr>
        <w:t>Option 2: UE collects training data and transfers it to Core Network. Core Network transfers the training data to the OTT server</w:t>
      </w:r>
    </w:p>
    <w:p w14:paraId="26B0B082">
      <w:pPr>
        <w:numPr>
          <w:ilvl w:val="0"/>
          <w:numId w:val="7"/>
        </w:numPr>
        <w:spacing w:after="180"/>
        <w:ind w:left="442" w:leftChars="0" w:hanging="442"/>
        <w:jc w:val="both"/>
        <w:rPr>
          <w:rFonts w:hint="default" w:ascii="Arial" w:hAnsi="Arial" w:cs="Arial" w:eastAsiaTheme="minorEastAsia"/>
          <w:sz w:val="21"/>
          <w:szCs w:val="21"/>
          <w:lang w:val="fr-FR" w:eastAsia="zh-CN" w:bidi="ar-SA"/>
        </w:rPr>
      </w:pPr>
      <w:r>
        <w:rPr>
          <w:rFonts w:hint="default" w:ascii="Arial" w:hAnsi="Arial" w:cs="Arial" w:eastAsiaTheme="minorEastAsia"/>
          <w:sz w:val="21"/>
          <w:szCs w:val="21"/>
          <w:lang w:val="fr-FR" w:eastAsia="zh-CN" w:bidi="ar-SA"/>
        </w:rPr>
        <w:t>Option 3: UE collects training data and transfers it to OAM. OAM transfers the needed data to the OTT server</w:t>
      </w:r>
    </w:p>
    <w:p w14:paraId="51BE7FF0">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For AI/ML for mobility, RAN2 can wait for the progress in AI/ML for NR air interface, and focus on the content for data collection.</w:t>
      </w:r>
    </w:p>
    <w:p w14:paraId="5257341F">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Regarding the data content for model training, the different information may be needed for different prediction options, which should be discussed separately. Specifically,</w:t>
      </w:r>
    </w:p>
    <w:p w14:paraId="4A6D183F">
      <w:pPr>
        <w:numPr>
          <w:ilvl w:val="0"/>
          <w:numId w:val="7"/>
        </w:numPr>
        <w:spacing w:after="180"/>
        <w:ind w:left="442" w:leftChars="0" w:hanging="442"/>
        <w:jc w:val="both"/>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For </w:t>
      </w:r>
      <w:r>
        <w:rPr>
          <w:rFonts w:hint="eastAsia" w:ascii="Arial" w:hAnsi="Arial" w:cs="Arial" w:eastAsiaTheme="minorEastAsia"/>
          <w:sz w:val="21"/>
          <w:szCs w:val="21"/>
          <w:lang w:val="en-US" w:eastAsia="zh-CN" w:bidi="ar-SA"/>
        </w:rPr>
        <w:t xml:space="preserve">direct </w:t>
      </w:r>
      <w:r>
        <w:rPr>
          <w:rFonts w:hint="eastAsia" w:ascii="Arial" w:hAnsi="Arial" w:eastAsia="宋体" w:cs="Arial"/>
          <w:sz w:val="21"/>
          <w:szCs w:val="22"/>
          <w:lang w:val="en-US" w:eastAsia="zh-CN"/>
        </w:rPr>
        <w:t>prediction: e.g. L3 cell level measurement results, event configuration info, event occurrence info (e.g. occurrence time)</w:t>
      </w:r>
    </w:p>
    <w:p w14:paraId="775D5B44">
      <w:pPr>
        <w:numPr>
          <w:ilvl w:val="0"/>
          <w:numId w:val="7"/>
        </w:numPr>
        <w:spacing w:after="180"/>
        <w:ind w:left="442" w:leftChars="0" w:hanging="442"/>
        <w:jc w:val="both"/>
        <w:rPr>
          <w:rFonts w:hint="default" w:ascii="Arial" w:hAnsi="Arial" w:eastAsia="宋体" w:cs="Arial"/>
          <w:sz w:val="21"/>
          <w:szCs w:val="22"/>
          <w:lang w:val="en-US" w:eastAsia="zh-CN"/>
        </w:rPr>
      </w:pPr>
      <w:r>
        <w:rPr>
          <w:rFonts w:hint="eastAsia" w:ascii="Arial" w:hAnsi="Arial" w:eastAsia="宋体" w:cs="Arial"/>
          <w:sz w:val="21"/>
          <w:szCs w:val="22"/>
          <w:lang w:val="en-US" w:eastAsia="zh-CN"/>
        </w:rPr>
        <w:t>For indirect prediction: e.g. L1/L3 measurement results, MRRT, frequency info, event configuration info, event occurrence info (e.g. occurrence time)</w:t>
      </w:r>
    </w:p>
    <w:p w14:paraId="10EF75CD">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6: RAN2 to discuss the data content to be collected for model training for indirect prediction and direct prediction, e.g. L3 cell level measurement results and event info for direct prediction, L1/L3 measurement results, MRRT and event info for indirect prediction.</w:t>
      </w:r>
    </w:p>
    <w:p w14:paraId="06C5D57A">
      <w:pPr>
        <w:spacing w:before="120" w:beforeLines="50" w:after="120" w:line="240" w:lineRule="auto"/>
        <w:rPr>
          <w:rFonts w:hint="default" w:ascii="Arial" w:hAnsi="Arial" w:eastAsia="宋体" w:cs="Arial"/>
          <w:sz w:val="21"/>
          <w:szCs w:val="22"/>
          <w:lang w:val="en-US" w:eastAsia="zh-CN"/>
        </w:rPr>
      </w:pPr>
    </w:p>
    <w:p w14:paraId="76D21C92">
      <w:pPr>
        <w:jc w:val="both"/>
        <w:rPr>
          <w:rFonts w:hint="default" w:ascii="Arial" w:hAnsi="Arial" w:eastAsia="等线" w:cs="Arial"/>
          <w:b/>
          <w:bCs/>
          <w:u w:val="single"/>
          <w:lang w:val="en-US" w:eastAsia="zh-CN"/>
        </w:rPr>
      </w:pPr>
      <w:r>
        <w:rPr>
          <w:rFonts w:hint="default" w:ascii="Arial" w:hAnsi="Arial" w:eastAsia="等线" w:cs="Arial"/>
          <w:b/>
          <w:bCs/>
          <w:u w:val="single"/>
          <w:lang w:val="en-US" w:eastAsia="zh-CN"/>
        </w:rPr>
        <w:t xml:space="preserve">Data collection for </w:t>
      </w:r>
      <w:r>
        <w:rPr>
          <w:rFonts w:hint="eastAsia" w:ascii="Arial" w:hAnsi="Arial" w:eastAsia="等线" w:cs="Arial"/>
          <w:b/>
          <w:bCs/>
          <w:u w:val="single"/>
          <w:lang w:val="en-US" w:eastAsia="zh-CN"/>
        </w:rPr>
        <w:t>inference</w:t>
      </w:r>
    </w:p>
    <w:p w14:paraId="68841F91">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Based on the previous agreements, for indirect prediction, the intermediate output (i.e., the output of RRM prediction model) is RSRP of serving/neighboring cells. And the final output is the expected occurrence time of a certain measurement event (ex. event A3). Therefore, the UE can report the final output to the network for handover decision, and the intermediate output can be reported optionally.</w:t>
      </w:r>
    </w:p>
    <w:p w14:paraId="07A2D75A">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7: For indirect measurement event prediction, the UE can report the expected occurrence time of a certain measurement event and optionally the predicted RSRP of serving/neighboring cells to the network for handover decision.</w:t>
      </w:r>
    </w:p>
    <w:p w14:paraId="7EC95736">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For direct prediction, the model output is the probability of event occurrence within a time window. Therefore, the UE can report the probability of event occurrence to assist the network to determine whether to perform handover procedure.</w:t>
      </w:r>
    </w:p>
    <w:p w14:paraId="34C335D8">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8: For direct measurement event prediction, the UE can report the probability of event occurrence within a time window to the network for handover decision.</w:t>
      </w:r>
    </w:p>
    <w:p w14:paraId="2584381F">
      <w:pPr>
        <w:spacing w:before="120" w:beforeLines="50" w:after="120" w:line="240" w:lineRule="auto"/>
        <w:rPr>
          <w:rFonts w:hint="default" w:ascii="Arial" w:hAnsi="Arial" w:eastAsia="宋体" w:cs="Arial"/>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proposals on LCM for measurement event prediction</w:t>
      </w:r>
      <w:r>
        <w:rPr>
          <w:rFonts w:ascii="Arial" w:hAnsi="Arial" w:eastAsia="宋体" w:cs="Arial"/>
          <w:kern w:val="0"/>
          <w:sz w:val="20"/>
          <w:szCs w:val="20"/>
          <w:lang w:val="en-GB" w:eastAsia="en-US"/>
        </w:rPr>
        <w:t>.</w:t>
      </w:r>
    </w:p>
    <w:p w14:paraId="0524EDA4">
      <w:pPr>
        <w:spacing w:before="120" w:beforeLines="50" w:after="120" w:line="240" w:lineRule="auto"/>
        <w:rPr>
          <w:rFonts w:hint="eastAsia" w:ascii="Arial" w:hAnsi="Arial" w:eastAsia="等线" w:cs="Arial"/>
          <w:b/>
          <w:bCs/>
          <w:i/>
          <w:iCs/>
          <w:u w:val="single"/>
          <w:lang w:val="en-US" w:eastAsia="zh-CN"/>
        </w:rPr>
      </w:pPr>
      <w:bookmarkStart w:id="0" w:name="_GoBack"/>
      <w:r>
        <w:rPr>
          <w:rFonts w:hint="eastAsia" w:ascii="Arial" w:hAnsi="Arial" w:eastAsia="等线" w:cs="Arial"/>
          <w:b/>
          <w:bCs/>
          <w:i/>
          <w:iCs/>
          <w:u w:val="single"/>
          <w:lang w:val="en-US" w:eastAsia="zh-CN"/>
        </w:rPr>
        <w:t>Definition of AI/ML-enabled Feature and functionality</w:t>
      </w:r>
    </w:p>
    <w:bookmarkEnd w:id="0"/>
    <w:p w14:paraId="4D49255B">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1: RAN2 to discuss the granularity of functionality for measurement event prediction:</w:t>
      </w:r>
    </w:p>
    <w:p w14:paraId="12698253">
      <w:pPr>
        <w:spacing w:before="120" w:beforeLines="50" w:after="120" w:line="240" w:lineRule="auto"/>
        <w:ind w:leftChars="100"/>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Direct prediction and indirect prediction</w:t>
      </w:r>
    </w:p>
    <w:p w14:paraId="7C7BCA60">
      <w:pPr>
        <w:spacing w:before="120" w:beforeLines="50" w:after="120" w:line="240" w:lineRule="auto"/>
        <w:ind w:leftChars="100"/>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 For indirect prediction, the functionality can be further refined into indirect measurement event prediction for temporal domain case A, temporal domain case B, frequency domain and spatial domain</w:t>
      </w:r>
    </w:p>
    <w:p w14:paraId="4DA1A295">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等线" w:cs="Arial"/>
          <w:b/>
          <w:bCs/>
          <w:i/>
          <w:iCs/>
          <w:u w:val="single"/>
          <w:lang w:val="en-US" w:eastAsia="zh-CN"/>
        </w:rPr>
        <w:t>UE capability and Applicable functionality reporting</w:t>
      </w:r>
    </w:p>
    <w:p w14:paraId="6C5067DD">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2: The UE capability and applicable functionality reporting procedure defined for AI/ML based beam management can be reused for AI/ML based measurement event prediction with UE-sided model.</w:t>
      </w:r>
    </w:p>
    <w:p w14:paraId="591186A8">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3: RAN2 to discuss the content of full inference configuration and/or inference related information for direct and indirect prediction respectively, and take the above content as starting point.</w:t>
      </w:r>
    </w:p>
    <w:p w14:paraId="3774D497">
      <w:pPr>
        <w:jc w:val="both"/>
        <w:rPr>
          <w:rFonts w:hint="default" w:ascii="Arial" w:hAnsi="Arial" w:eastAsia="宋体" w:cs="Arial"/>
          <w:b/>
          <w:bCs/>
          <w:sz w:val="21"/>
          <w:szCs w:val="22"/>
          <w:lang w:val="en-US" w:eastAsia="zh-CN"/>
        </w:rPr>
      </w:pPr>
      <w:r>
        <w:rPr>
          <w:rFonts w:hint="eastAsia" w:ascii="Arial" w:hAnsi="Arial" w:eastAsia="等线" w:cs="Arial"/>
          <w:b/>
          <w:bCs/>
          <w:i/>
          <w:iCs/>
          <w:u w:val="single"/>
          <w:lang w:val="en-US" w:eastAsia="zh-CN"/>
        </w:rPr>
        <w:t>Functionality management</w:t>
      </w:r>
    </w:p>
    <w:p w14:paraId="72EFCFC0">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4: Option 1a (Network decision, network-initiated AI/ML management) can be used as baseline for AI/ML based measurement event prediction with UE-sided model.</w:t>
      </w:r>
    </w:p>
    <w:p w14:paraId="53DF89BD">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5: RAN2 to discuss the information reported by the UE to assist the network to make decision on management, e.g. monitoring related info, real measurement results.</w:t>
      </w:r>
    </w:p>
    <w:p w14:paraId="6099DF38">
      <w:pPr>
        <w:jc w:val="both"/>
        <w:rPr>
          <w:rFonts w:hint="eastAsia" w:ascii="Arial" w:hAnsi="Arial" w:eastAsia="宋体" w:cs="Arial"/>
          <w:b/>
          <w:bCs/>
          <w:i/>
          <w:iCs/>
          <w:sz w:val="21"/>
          <w:szCs w:val="22"/>
          <w:lang w:val="en-US" w:eastAsia="zh-CN"/>
        </w:rPr>
      </w:pPr>
      <w:r>
        <w:rPr>
          <w:rFonts w:hint="default" w:ascii="Arial" w:hAnsi="Arial" w:eastAsia="等线" w:cs="Arial"/>
          <w:b/>
          <w:bCs/>
          <w:i/>
          <w:iCs/>
          <w:u w:val="single"/>
          <w:lang w:val="en-US" w:eastAsia="zh-CN"/>
        </w:rPr>
        <w:t>Data collection</w:t>
      </w:r>
    </w:p>
    <w:p w14:paraId="3894BD22">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6: RAN2 to discuss the data content to be collected for model training for indirect prediction and direct prediction, e.g. L3 cell level measurement results and event info for direct prediction, L1/L3 measurement results, MRRT and event info for indirect prediction.</w:t>
      </w:r>
    </w:p>
    <w:p w14:paraId="30FB8AE1">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7: For indirect measurement event prediction, the UE can report the expected occurrence time of a certain measurement event and optionally the predicted RSRP of serving/neighboring cells to the network for handover decision.</w:t>
      </w:r>
    </w:p>
    <w:p w14:paraId="582CFE5D">
      <w:pPr>
        <w:spacing w:before="120" w:beforeLines="50" w:after="120" w:line="240" w:lineRule="auto"/>
        <w:rPr>
          <w:rFonts w:hint="default" w:ascii="Arial" w:hAnsi="Arial" w:cs="Arial"/>
          <w:b/>
          <w:bCs w:val="0"/>
          <w:sz w:val="20"/>
          <w:szCs w:val="21"/>
          <w:lang w:val="en-US" w:eastAsia="zh-CN"/>
        </w:rPr>
      </w:pPr>
      <w:r>
        <w:rPr>
          <w:rFonts w:hint="eastAsia" w:ascii="Arial" w:hAnsi="Arial" w:eastAsia="宋体" w:cs="Arial"/>
          <w:b/>
          <w:bCs/>
          <w:sz w:val="21"/>
          <w:szCs w:val="22"/>
          <w:lang w:val="en-US" w:eastAsia="zh-CN"/>
        </w:rPr>
        <w:t>Proposal 8: For direct measurement event prediction, the UE can report the probability of event occurrence within a time window to the network for handover decision.</w:t>
      </w:r>
    </w:p>
    <w:p w14:paraId="02EAA163">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cs="Arial"/>
          <w:b/>
          <w:bCs w:val="0"/>
          <w:sz w:val="20"/>
          <w:szCs w:val="21"/>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FFC8458">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default" w:ascii="Arial" w:hAnsi="Arial" w:eastAsia="宋体" w:cs="Arial"/>
          <w:kern w:val="0"/>
          <w:sz w:val="20"/>
          <w:szCs w:val="20"/>
          <w:lang w:val="en-US"/>
        </w:rPr>
        <w:t>RP-242393, Revised SID on AIML for mobility in NR</w:t>
      </w:r>
    </w:p>
    <w:p w14:paraId="3EF06F0D">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R2-2502711, Discussion on LCM for RRM measurement prediction with UE sided model, CMCC</w:t>
      </w:r>
    </w:p>
    <w:p w14:paraId="0161E187">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TR 38.843</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rPr>
        <w:t xml:space="preserve">Study on Artificial Intelligence (AI)/Machine Learning (ML) for NR air interface </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56DD1302"/>
    <w:multiLevelType w:val="multilevel"/>
    <w:tmpl w:val="56DD130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7"/>
  </w:num>
  <w:num w:numId="4">
    <w:abstractNumId w:val="6"/>
  </w:num>
  <w:num w:numId="5">
    <w:abstractNumId w:val="4"/>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2A68CC"/>
    <w:rsid w:val="013400FE"/>
    <w:rsid w:val="016C5974"/>
    <w:rsid w:val="016E658B"/>
    <w:rsid w:val="0174032B"/>
    <w:rsid w:val="01840FB9"/>
    <w:rsid w:val="01A0498E"/>
    <w:rsid w:val="01A574CF"/>
    <w:rsid w:val="01A60C1B"/>
    <w:rsid w:val="01E966BF"/>
    <w:rsid w:val="02293976"/>
    <w:rsid w:val="02371446"/>
    <w:rsid w:val="02395107"/>
    <w:rsid w:val="02630C48"/>
    <w:rsid w:val="029B08C6"/>
    <w:rsid w:val="02A424C3"/>
    <w:rsid w:val="02B71025"/>
    <w:rsid w:val="02DD2D8B"/>
    <w:rsid w:val="02FA6D08"/>
    <w:rsid w:val="0300491B"/>
    <w:rsid w:val="030E32B0"/>
    <w:rsid w:val="03190295"/>
    <w:rsid w:val="036F637F"/>
    <w:rsid w:val="038A1F16"/>
    <w:rsid w:val="03C408D4"/>
    <w:rsid w:val="03ED2655"/>
    <w:rsid w:val="041A101A"/>
    <w:rsid w:val="042468D3"/>
    <w:rsid w:val="04616861"/>
    <w:rsid w:val="04861CA0"/>
    <w:rsid w:val="04A12BB9"/>
    <w:rsid w:val="04A37BF0"/>
    <w:rsid w:val="04F25DBA"/>
    <w:rsid w:val="04F46CEE"/>
    <w:rsid w:val="04FD5053"/>
    <w:rsid w:val="054134AD"/>
    <w:rsid w:val="05551670"/>
    <w:rsid w:val="056C27CB"/>
    <w:rsid w:val="0571089C"/>
    <w:rsid w:val="058844D8"/>
    <w:rsid w:val="05AD7C3D"/>
    <w:rsid w:val="05B81468"/>
    <w:rsid w:val="05B92B80"/>
    <w:rsid w:val="05CC288F"/>
    <w:rsid w:val="05D4720E"/>
    <w:rsid w:val="05FB3716"/>
    <w:rsid w:val="061355E6"/>
    <w:rsid w:val="0660508D"/>
    <w:rsid w:val="069766D8"/>
    <w:rsid w:val="06AC66F5"/>
    <w:rsid w:val="06B111C0"/>
    <w:rsid w:val="06EA3869"/>
    <w:rsid w:val="06EB297F"/>
    <w:rsid w:val="06F44776"/>
    <w:rsid w:val="071830B3"/>
    <w:rsid w:val="07232B13"/>
    <w:rsid w:val="072E12A5"/>
    <w:rsid w:val="072E4FA9"/>
    <w:rsid w:val="07554650"/>
    <w:rsid w:val="075F5104"/>
    <w:rsid w:val="079F7BD5"/>
    <w:rsid w:val="07AF7E3A"/>
    <w:rsid w:val="07CC0B7F"/>
    <w:rsid w:val="07F07408"/>
    <w:rsid w:val="080B0E60"/>
    <w:rsid w:val="08241B14"/>
    <w:rsid w:val="08250D84"/>
    <w:rsid w:val="08346E32"/>
    <w:rsid w:val="084F3982"/>
    <w:rsid w:val="0870581B"/>
    <w:rsid w:val="08A06BD3"/>
    <w:rsid w:val="08BD2F14"/>
    <w:rsid w:val="08D80E0C"/>
    <w:rsid w:val="09085B92"/>
    <w:rsid w:val="093223D0"/>
    <w:rsid w:val="09373DCB"/>
    <w:rsid w:val="09414F75"/>
    <w:rsid w:val="094470AB"/>
    <w:rsid w:val="095A6DFD"/>
    <w:rsid w:val="09926330"/>
    <w:rsid w:val="09AD7F7C"/>
    <w:rsid w:val="09B81624"/>
    <w:rsid w:val="09B92009"/>
    <w:rsid w:val="09C411E9"/>
    <w:rsid w:val="09D63199"/>
    <w:rsid w:val="09F124DC"/>
    <w:rsid w:val="09F8719E"/>
    <w:rsid w:val="0A0C359D"/>
    <w:rsid w:val="0A103B20"/>
    <w:rsid w:val="0A1469F1"/>
    <w:rsid w:val="0A173D8A"/>
    <w:rsid w:val="0A4707FD"/>
    <w:rsid w:val="0A924098"/>
    <w:rsid w:val="0AA35EAE"/>
    <w:rsid w:val="0AAC7074"/>
    <w:rsid w:val="0AB622D1"/>
    <w:rsid w:val="0ABA01A9"/>
    <w:rsid w:val="0ADE2342"/>
    <w:rsid w:val="0AE21792"/>
    <w:rsid w:val="0AF33383"/>
    <w:rsid w:val="0B054A96"/>
    <w:rsid w:val="0B0E2B4A"/>
    <w:rsid w:val="0B11078A"/>
    <w:rsid w:val="0B7E67EB"/>
    <w:rsid w:val="0B901D30"/>
    <w:rsid w:val="0B96175E"/>
    <w:rsid w:val="0BB81E48"/>
    <w:rsid w:val="0BF550E1"/>
    <w:rsid w:val="0C145134"/>
    <w:rsid w:val="0C170E2E"/>
    <w:rsid w:val="0C202296"/>
    <w:rsid w:val="0C415301"/>
    <w:rsid w:val="0C4853AF"/>
    <w:rsid w:val="0C5466CF"/>
    <w:rsid w:val="0C6C1EE0"/>
    <w:rsid w:val="0C7F3E15"/>
    <w:rsid w:val="0C7F7B27"/>
    <w:rsid w:val="0CC05689"/>
    <w:rsid w:val="0CD5224C"/>
    <w:rsid w:val="0CE47224"/>
    <w:rsid w:val="0CED527E"/>
    <w:rsid w:val="0D09234F"/>
    <w:rsid w:val="0D362C45"/>
    <w:rsid w:val="0D570A89"/>
    <w:rsid w:val="0D711EBE"/>
    <w:rsid w:val="0D771EA7"/>
    <w:rsid w:val="0DA728AC"/>
    <w:rsid w:val="0DAD175B"/>
    <w:rsid w:val="0DE11C21"/>
    <w:rsid w:val="0DE14E46"/>
    <w:rsid w:val="0E0422AA"/>
    <w:rsid w:val="0E3D4FDF"/>
    <w:rsid w:val="0E4A09D7"/>
    <w:rsid w:val="0E56201A"/>
    <w:rsid w:val="0E6C0832"/>
    <w:rsid w:val="0E6E3C34"/>
    <w:rsid w:val="0EAF327B"/>
    <w:rsid w:val="0F1D748A"/>
    <w:rsid w:val="0F4E079B"/>
    <w:rsid w:val="0F732504"/>
    <w:rsid w:val="0F782620"/>
    <w:rsid w:val="0F8A7784"/>
    <w:rsid w:val="0F8C51E0"/>
    <w:rsid w:val="0FC803F4"/>
    <w:rsid w:val="0FCA4E7F"/>
    <w:rsid w:val="10090A65"/>
    <w:rsid w:val="108B22CD"/>
    <w:rsid w:val="109C30D1"/>
    <w:rsid w:val="10AC6F3F"/>
    <w:rsid w:val="10C31C47"/>
    <w:rsid w:val="10C64AE7"/>
    <w:rsid w:val="10F04644"/>
    <w:rsid w:val="110171B2"/>
    <w:rsid w:val="111422F1"/>
    <w:rsid w:val="11171B9A"/>
    <w:rsid w:val="111F30A5"/>
    <w:rsid w:val="113E2BC1"/>
    <w:rsid w:val="116F7873"/>
    <w:rsid w:val="11900A86"/>
    <w:rsid w:val="119B1CE5"/>
    <w:rsid w:val="11AD6655"/>
    <w:rsid w:val="11B96DAB"/>
    <w:rsid w:val="11D361EC"/>
    <w:rsid w:val="11D44799"/>
    <w:rsid w:val="11D65F4E"/>
    <w:rsid w:val="11E4251C"/>
    <w:rsid w:val="12295811"/>
    <w:rsid w:val="1236016D"/>
    <w:rsid w:val="123900DB"/>
    <w:rsid w:val="123B6254"/>
    <w:rsid w:val="12470CD9"/>
    <w:rsid w:val="125B745E"/>
    <w:rsid w:val="12934DEA"/>
    <w:rsid w:val="12A73823"/>
    <w:rsid w:val="12B04029"/>
    <w:rsid w:val="12BD5E5F"/>
    <w:rsid w:val="12D517AD"/>
    <w:rsid w:val="12DA4242"/>
    <w:rsid w:val="13093115"/>
    <w:rsid w:val="130A48C3"/>
    <w:rsid w:val="132303DD"/>
    <w:rsid w:val="1331496D"/>
    <w:rsid w:val="13392934"/>
    <w:rsid w:val="13583AE1"/>
    <w:rsid w:val="1358580E"/>
    <w:rsid w:val="135A6265"/>
    <w:rsid w:val="136A73BB"/>
    <w:rsid w:val="139327D8"/>
    <w:rsid w:val="13A46671"/>
    <w:rsid w:val="13D36FA4"/>
    <w:rsid w:val="14256000"/>
    <w:rsid w:val="1466786F"/>
    <w:rsid w:val="149733D6"/>
    <w:rsid w:val="14A668A4"/>
    <w:rsid w:val="14A9029F"/>
    <w:rsid w:val="14B83431"/>
    <w:rsid w:val="14D815EB"/>
    <w:rsid w:val="14E836E8"/>
    <w:rsid w:val="14F142C3"/>
    <w:rsid w:val="150B6FBF"/>
    <w:rsid w:val="152B1104"/>
    <w:rsid w:val="154A66B0"/>
    <w:rsid w:val="159C7EDD"/>
    <w:rsid w:val="15BE553B"/>
    <w:rsid w:val="15E03E14"/>
    <w:rsid w:val="15E4550B"/>
    <w:rsid w:val="15E9482E"/>
    <w:rsid w:val="161147C5"/>
    <w:rsid w:val="16327956"/>
    <w:rsid w:val="166A7A3B"/>
    <w:rsid w:val="16725680"/>
    <w:rsid w:val="168B0BBD"/>
    <w:rsid w:val="168B7CC4"/>
    <w:rsid w:val="16996A0B"/>
    <w:rsid w:val="16A3322F"/>
    <w:rsid w:val="16C120B7"/>
    <w:rsid w:val="16C47023"/>
    <w:rsid w:val="16CD3708"/>
    <w:rsid w:val="16D51B5B"/>
    <w:rsid w:val="16D7712F"/>
    <w:rsid w:val="16ED23AA"/>
    <w:rsid w:val="172F4118"/>
    <w:rsid w:val="17916AE6"/>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92E5438"/>
    <w:rsid w:val="192F165F"/>
    <w:rsid w:val="19547778"/>
    <w:rsid w:val="195E3B99"/>
    <w:rsid w:val="196E4FB3"/>
    <w:rsid w:val="197E58BE"/>
    <w:rsid w:val="19C51AEA"/>
    <w:rsid w:val="19CE1BFF"/>
    <w:rsid w:val="19FE65D7"/>
    <w:rsid w:val="1A1C0B7B"/>
    <w:rsid w:val="1A40430B"/>
    <w:rsid w:val="1A9A126F"/>
    <w:rsid w:val="1AA4601E"/>
    <w:rsid w:val="1ABB3621"/>
    <w:rsid w:val="1ABF7C53"/>
    <w:rsid w:val="1ADE6206"/>
    <w:rsid w:val="1AE7452F"/>
    <w:rsid w:val="1AEB507C"/>
    <w:rsid w:val="1B073464"/>
    <w:rsid w:val="1B2A626C"/>
    <w:rsid w:val="1B5E2B2B"/>
    <w:rsid w:val="1BB22919"/>
    <w:rsid w:val="1BF91505"/>
    <w:rsid w:val="1C064DE2"/>
    <w:rsid w:val="1C263D41"/>
    <w:rsid w:val="1C631691"/>
    <w:rsid w:val="1C6673DB"/>
    <w:rsid w:val="1C6A1BB2"/>
    <w:rsid w:val="1C726F5B"/>
    <w:rsid w:val="1C937E16"/>
    <w:rsid w:val="1CC529AF"/>
    <w:rsid w:val="1CC914E2"/>
    <w:rsid w:val="1CDA5DED"/>
    <w:rsid w:val="1D031FA5"/>
    <w:rsid w:val="1D595CEF"/>
    <w:rsid w:val="1D700D25"/>
    <w:rsid w:val="1D9948E6"/>
    <w:rsid w:val="1DA1677A"/>
    <w:rsid w:val="1DA90A2F"/>
    <w:rsid w:val="1DE55E1B"/>
    <w:rsid w:val="1DEA2636"/>
    <w:rsid w:val="1E015BFF"/>
    <w:rsid w:val="1E261FEC"/>
    <w:rsid w:val="1E3D5D61"/>
    <w:rsid w:val="1E3E032D"/>
    <w:rsid w:val="1E4C7D38"/>
    <w:rsid w:val="1E5D014C"/>
    <w:rsid w:val="1E625159"/>
    <w:rsid w:val="1E6C052F"/>
    <w:rsid w:val="1E8017FF"/>
    <w:rsid w:val="1EB31B66"/>
    <w:rsid w:val="1EB529F8"/>
    <w:rsid w:val="1EEC75A7"/>
    <w:rsid w:val="1EF17AB3"/>
    <w:rsid w:val="1EF92460"/>
    <w:rsid w:val="1F1F4D17"/>
    <w:rsid w:val="1F7E629B"/>
    <w:rsid w:val="1F8A3BD5"/>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67FDB"/>
    <w:rsid w:val="219C1508"/>
    <w:rsid w:val="21BF756C"/>
    <w:rsid w:val="21E005A4"/>
    <w:rsid w:val="21FA5606"/>
    <w:rsid w:val="22046DF1"/>
    <w:rsid w:val="220A4513"/>
    <w:rsid w:val="225124B4"/>
    <w:rsid w:val="226B158F"/>
    <w:rsid w:val="229575D0"/>
    <w:rsid w:val="22965A26"/>
    <w:rsid w:val="22AC5116"/>
    <w:rsid w:val="22B32E1B"/>
    <w:rsid w:val="22CD6AE0"/>
    <w:rsid w:val="22D42FDF"/>
    <w:rsid w:val="22E30EC1"/>
    <w:rsid w:val="23365998"/>
    <w:rsid w:val="236906A5"/>
    <w:rsid w:val="2375481A"/>
    <w:rsid w:val="23797368"/>
    <w:rsid w:val="23822B30"/>
    <w:rsid w:val="23B828A0"/>
    <w:rsid w:val="23EE120B"/>
    <w:rsid w:val="2403705B"/>
    <w:rsid w:val="24110B80"/>
    <w:rsid w:val="24572D18"/>
    <w:rsid w:val="245A7C91"/>
    <w:rsid w:val="249D5D77"/>
    <w:rsid w:val="24B2031D"/>
    <w:rsid w:val="24B445FB"/>
    <w:rsid w:val="24BD6504"/>
    <w:rsid w:val="24C74F14"/>
    <w:rsid w:val="24D708E2"/>
    <w:rsid w:val="24E35931"/>
    <w:rsid w:val="24FB6730"/>
    <w:rsid w:val="251B6F7E"/>
    <w:rsid w:val="252515BC"/>
    <w:rsid w:val="25787665"/>
    <w:rsid w:val="25815EBA"/>
    <w:rsid w:val="258B4FC9"/>
    <w:rsid w:val="25F5013E"/>
    <w:rsid w:val="2618546A"/>
    <w:rsid w:val="262A1C6D"/>
    <w:rsid w:val="262F627F"/>
    <w:rsid w:val="26315BFD"/>
    <w:rsid w:val="264A4407"/>
    <w:rsid w:val="26537397"/>
    <w:rsid w:val="26590269"/>
    <w:rsid w:val="2660154C"/>
    <w:rsid w:val="26741477"/>
    <w:rsid w:val="26A276B5"/>
    <w:rsid w:val="26BA68C7"/>
    <w:rsid w:val="26BB1824"/>
    <w:rsid w:val="26BF5E40"/>
    <w:rsid w:val="26C12C45"/>
    <w:rsid w:val="26F237CD"/>
    <w:rsid w:val="2719754A"/>
    <w:rsid w:val="2725126B"/>
    <w:rsid w:val="27375D6E"/>
    <w:rsid w:val="274C2D2B"/>
    <w:rsid w:val="27704000"/>
    <w:rsid w:val="2796594E"/>
    <w:rsid w:val="27B135A1"/>
    <w:rsid w:val="27BC024E"/>
    <w:rsid w:val="27BE3E87"/>
    <w:rsid w:val="27C17045"/>
    <w:rsid w:val="27C35275"/>
    <w:rsid w:val="283167B4"/>
    <w:rsid w:val="28682A73"/>
    <w:rsid w:val="289D577F"/>
    <w:rsid w:val="28E404D9"/>
    <w:rsid w:val="28F4407D"/>
    <w:rsid w:val="291138C7"/>
    <w:rsid w:val="29120E51"/>
    <w:rsid w:val="292F6255"/>
    <w:rsid w:val="295A50C3"/>
    <w:rsid w:val="29733D9F"/>
    <w:rsid w:val="29A61468"/>
    <w:rsid w:val="29BE37C1"/>
    <w:rsid w:val="29D972D3"/>
    <w:rsid w:val="29DF7FFE"/>
    <w:rsid w:val="2A0B3F8F"/>
    <w:rsid w:val="2A5039D7"/>
    <w:rsid w:val="2A665688"/>
    <w:rsid w:val="2A7D74CC"/>
    <w:rsid w:val="2A7F4563"/>
    <w:rsid w:val="2B3F4C1F"/>
    <w:rsid w:val="2B4D1216"/>
    <w:rsid w:val="2B58393A"/>
    <w:rsid w:val="2B8030A5"/>
    <w:rsid w:val="2BB761AE"/>
    <w:rsid w:val="2BC37D39"/>
    <w:rsid w:val="2BE06712"/>
    <w:rsid w:val="2C093C47"/>
    <w:rsid w:val="2C095760"/>
    <w:rsid w:val="2C0D429C"/>
    <w:rsid w:val="2C6E581C"/>
    <w:rsid w:val="2C7A7AA0"/>
    <w:rsid w:val="2CA30589"/>
    <w:rsid w:val="2CC9787F"/>
    <w:rsid w:val="2CF77552"/>
    <w:rsid w:val="2D146D2C"/>
    <w:rsid w:val="2D155FB3"/>
    <w:rsid w:val="2D3B7B03"/>
    <w:rsid w:val="2D440581"/>
    <w:rsid w:val="2D470656"/>
    <w:rsid w:val="2D493ADC"/>
    <w:rsid w:val="2D55451C"/>
    <w:rsid w:val="2D5B158F"/>
    <w:rsid w:val="2D836484"/>
    <w:rsid w:val="2D9B2285"/>
    <w:rsid w:val="2DD51C18"/>
    <w:rsid w:val="2DF144D1"/>
    <w:rsid w:val="2DFB6036"/>
    <w:rsid w:val="2E150451"/>
    <w:rsid w:val="2E3472AB"/>
    <w:rsid w:val="2E3D031C"/>
    <w:rsid w:val="2EA86437"/>
    <w:rsid w:val="2EB103B1"/>
    <w:rsid w:val="2F0F71E6"/>
    <w:rsid w:val="2F383A5C"/>
    <w:rsid w:val="2F4559EE"/>
    <w:rsid w:val="2F59457E"/>
    <w:rsid w:val="2F742945"/>
    <w:rsid w:val="2F8B3226"/>
    <w:rsid w:val="2F9D4B14"/>
    <w:rsid w:val="2FB32EEE"/>
    <w:rsid w:val="2FBE43F5"/>
    <w:rsid w:val="2FC53C32"/>
    <w:rsid w:val="2FC55B9D"/>
    <w:rsid w:val="2FD157C7"/>
    <w:rsid w:val="3008444D"/>
    <w:rsid w:val="300A115E"/>
    <w:rsid w:val="301241C3"/>
    <w:rsid w:val="30296BB8"/>
    <w:rsid w:val="30890423"/>
    <w:rsid w:val="309D4655"/>
    <w:rsid w:val="30A27A0B"/>
    <w:rsid w:val="30A35497"/>
    <w:rsid w:val="30C026F3"/>
    <w:rsid w:val="315423FA"/>
    <w:rsid w:val="315B7AEC"/>
    <w:rsid w:val="31710789"/>
    <w:rsid w:val="317503B0"/>
    <w:rsid w:val="31A977AF"/>
    <w:rsid w:val="31AC0A51"/>
    <w:rsid w:val="31D53C4D"/>
    <w:rsid w:val="31F71A11"/>
    <w:rsid w:val="31FE12AB"/>
    <w:rsid w:val="31FF4890"/>
    <w:rsid w:val="32032DB7"/>
    <w:rsid w:val="320D3024"/>
    <w:rsid w:val="320E382B"/>
    <w:rsid w:val="321A185A"/>
    <w:rsid w:val="321B4537"/>
    <w:rsid w:val="32513A45"/>
    <w:rsid w:val="32B50B2C"/>
    <w:rsid w:val="32C84DFE"/>
    <w:rsid w:val="32E76E9D"/>
    <w:rsid w:val="32FA3DAF"/>
    <w:rsid w:val="332D5F33"/>
    <w:rsid w:val="3337740D"/>
    <w:rsid w:val="3358616F"/>
    <w:rsid w:val="337F1035"/>
    <w:rsid w:val="33805DA1"/>
    <w:rsid w:val="338C56E4"/>
    <w:rsid w:val="33934B2E"/>
    <w:rsid w:val="339441CF"/>
    <w:rsid w:val="33C37075"/>
    <w:rsid w:val="33D04100"/>
    <w:rsid w:val="34062C68"/>
    <w:rsid w:val="341C738A"/>
    <w:rsid w:val="341E063D"/>
    <w:rsid w:val="343A03D8"/>
    <w:rsid w:val="348F0A80"/>
    <w:rsid w:val="34A26022"/>
    <w:rsid w:val="34B0567F"/>
    <w:rsid w:val="34B443F6"/>
    <w:rsid w:val="34E12F4E"/>
    <w:rsid w:val="34EB31AA"/>
    <w:rsid w:val="34EC41DF"/>
    <w:rsid w:val="35040A33"/>
    <w:rsid w:val="351A24AD"/>
    <w:rsid w:val="35273121"/>
    <w:rsid w:val="354E123E"/>
    <w:rsid w:val="354F2AD2"/>
    <w:rsid w:val="356D6A12"/>
    <w:rsid w:val="35B50461"/>
    <w:rsid w:val="35C36B07"/>
    <w:rsid w:val="35C60438"/>
    <w:rsid w:val="360D6591"/>
    <w:rsid w:val="361F2C5E"/>
    <w:rsid w:val="363976F7"/>
    <w:rsid w:val="365437D6"/>
    <w:rsid w:val="36681B72"/>
    <w:rsid w:val="366E68DA"/>
    <w:rsid w:val="369938DF"/>
    <w:rsid w:val="36BD137C"/>
    <w:rsid w:val="36DE2E34"/>
    <w:rsid w:val="36E02E58"/>
    <w:rsid w:val="36E614FC"/>
    <w:rsid w:val="36F84B57"/>
    <w:rsid w:val="37133692"/>
    <w:rsid w:val="3746309F"/>
    <w:rsid w:val="3751494E"/>
    <w:rsid w:val="375A24EA"/>
    <w:rsid w:val="37757EA8"/>
    <w:rsid w:val="3784494C"/>
    <w:rsid w:val="378A1E8D"/>
    <w:rsid w:val="37BC00E4"/>
    <w:rsid w:val="37C859C7"/>
    <w:rsid w:val="37D62F7A"/>
    <w:rsid w:val="37E30435"/>
    <w:rsid w:val="37E40AE8"/>
    <w:rsid w:val="37F3629E"/>
    <w:rsid w:val="3801173C"/>
    <w:rsid w:val="38060F79"/>
    <w:rsid w:val="38377799"/>
    <w:rsid w:val="3839587C"/>
    <w:rsid w:val="384E5649"/>
    <w:rsid w:val="38746ABC"/>
    <w:rsid w:val="38761BD7"/>
    <w:rsid w:val="38AE69D5"/>
    <w:rsid w:val="38FC0060"/>
    <w:rsid w:val="38FC32F5"/>
    <w:rsid w:val="38FD17EE"/>
    <w:rsid w:val="39030A9D"/>
    <w:rsid w:val="39113643"/>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903A88"/>
    <w:rsid w:val="3AA50AA5"/>
    <w:rsid w:val="3AC820F6"/>
    <w:rsid w:val="3AEB3C21"/>
    <w:rsid w:val="3AFB6043"/>
    <w:rsid w:val="3B041E40"/>
    <w:rsid w:val="3B191C47"/>
    <w:rsid w:val="3B205806"/>
    <w:rsid w:val="3B295FAA"/>
    <w:rsid w:val="3B5237EF"/>
    <w:rsid w:val="3B5C6A72"/>
    <w:rsid w:val="3B7F2CAA"/>
    <w:rsid w:val="3C1A13DF"/>
    <w:rsid w:val="3C3A4FEB"/>
    <w:rsid w:val="3C4F0EBB"/>
    <w:rsid w:val="3C635FA0"/>
    <w:rsid w:val="3C726AD5"/>
    <w:rsid w:val="3C8659AE"/>
    <w:rsid w:val="3CA66A58"/>
    <w:rsid w:val="3CBE3C7C"/>
    <w:rsid w:val="3CD165D4"/>
    <w:rsid w:val="3CF06959"/>
    <w:rsid w:val="3CF316DB"/>
    <w:rsid w:val="3D1617AD"/>
    <w:rsid w:val="3D39355A"/>
    <w:rsid w:val="3D3C44DD"/>
    <w:rsid w:val="3D5001A7"/>
    <w:rsid w:val="3D58381F"/>
    <w:rsid w:val="3D5B3EF0"/>
    <w:rsid w:val="3D5C58DF"/>
    <w:rsid w:val="3D9214B7"/>
    <w:rsid w:val="3DB23DD9"/>
    <w:rsid w:val="3DB63349"/>
    <w:rsid w:val="3DEE576C"/>
    <w:rsid w:val="3DF57F08"/>
    <w:rsid w:val="3E143052"/>
    <w:rsid w:val="3E262B6F"/>
    <w:rsid w:val="3E390C78"/>
    <w:rsid w:val="3E500D27"/>
    <w:rsid w:val="3E573ADE"/>
    <w:rsid w:val="3EA55E90"/>
    <w:rsid w:val="3ECD0998"/>
    <w:rsid w:val="3ED508CA"/>
    <w:rsid w:val="3F1109BC"/>
    <w:rsid w:val="3F1B7587"/>
    <w:rsid w:val="3F334B22"/>
    <w:rsid w:val="3F805B16"/>
    <w:rsid w:val="3F892743"/>
    <w:rsid w:val="3FA42170"/>
    <w:rsid w:val="3FAF36DB"/>
    <w:rsid w:val="402F1229"/>
    <w:rsid w:val="405759DA"/>
    <w:rsid w:val="40607D10"/>
    <w:rsid w:val="406A14B3"/>
    <w:rsid w:val="407C15D8"/>
    <w:rsid w:val="408B597B"/>
    <w:rsid w:val="409D1B0D"/>
    <w:rsid w:val="40F97CA8"/>
    <w:rsid w:val="41171B69"/>
    <w:rsid w:val="412B59AE"/>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D3A87"/>
    <w:rsid w:val="43600192"/>
    <w:rsid w:val="43617533"/>
    <w:rsid w:val="437377FC"/>
    <w:rsid w:val="43964A1C"/>
    <w:rsid w:val="43E22B61"/>
    <w:rsid w:val="44010D72"/>
    <w:rsid w:val="44031DB9"/>
    <w:rsid w:val="447943E7"/>
    <w:rsid w:val="44B41FCD"/>
    <w:rsid w:val="44F46625"/>
    <w:rsid w:val="44F52628"/>
    <w:rsid w:val="454C191C"/>
    <w:rsid w:val="454C5876"/>
    <w:rsid w:val="4556652D"/>
    <w:rsid w:val="45861251"/>
    <w:rsid w:val="459911EE"/>
    <w:rsid w:val="4599227F"/>
    <w:rsid w:val="45BE024B"/>
    <w:rsid w:val="45BE2AD4"/>
    <w:rsid w:val="45C2437E"/>
    <w:rsid w:val="45EA2721"/>
    <w:rsid w:val="460A0745"/>
    <w:rsid w:val="46300B95"/>
    <w:rsid w:val="463A3C1C"/>
    <w:rsid w:val="466E6ADA"/>
    <w:rsid w:val="46776100"/>
    <w:rsid w:val="4699240B"/>
    <w:rsid w:val="46B7014A"/>
    <w:rsid w:val="46C942A7"/>
    <w:rsid w:val="46DD4977"/>
    <w:rsid w:val="46DE0D2C"/>
    <w:rsid w:val="46EC22D2"/>
    <w:rsid w:val="46ED5CA5"/>
    <w:rsid w:val="46FE4C6E"/>
    <w:rsid w:val="47062AB6"/>
    <w:rsid w:val="475A659D"/>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BB1493"/>
    <w:rsid w:val="48F702B1"/>
    <w:rsid w:val="49043E31"/>
    <w:rsid w:val="492910E2"/>
    <w:rsid w:val="492E569F"/>
    <w:rsid w:val="494B446A"/>
    <w:rsid w:val="494E1C27"/>
    <w:rsid w:val="497A40B6"/>
    <w:rsid w:val="49A36AB0"/>
    <w:rsid w:val="49A97E85"/>
    <w:rsid w:val="49D92DDD"/>
    <w:rsid w:val="49EF5321"/>
    <w:rsid w:val="4A037596"/>
    <w:rsid w:val="4A1A5E29"/>
    <w:rsid w:val="4A347F6C"/>
    <w:rsid w:val="4A444508"/>
    <w:rsid w:val="4A456A14"/>
    <w:rsid w:val="4A5A1FE6"/>
    <w:rsid w:val="4A66451F"/>
    <w:rsid w:val="4A9D0D79"/>
    <w:rsid w:val="4A9D45B8"/>
    <w:rsid w:val="4A9F545E"/>
    <w:rsid w:val="4AA85E8E"/>
    <w:rsid w:val="4AAB056F"/>
    <w:rsid w:val="4AF535C1"/>
    <w:rsid w:val="4AFF32E7"/>
    <w:rsid w:val="4B08573B"/>
    <w:rsid w:val="4B130CAC"/>
    <w:rsid w:val="4B372DDA"/>
    <w:rsid w:val="4B427D58"/>
    <w:rsid w:val="4B626F00"/>
    <w:rsid w:val="4BC53B5B"/>
    <w:rsid w:val="4BE53FE4"/>
    <w:rsid w:val="4C083AFB"/>
    <w:rsid w:val="4C340FD6"/>
    <w:rsid w:val="4C4D4AF8"/>
    <w:rsid w:val="4C744BB3"/>
    <w:rsid w:val="4C851F32"/>
    <w:rsid w:val="4C964045"/>
    <w:rsid w:val="4CBF0100"/>
    <w:rsid w:val="4CE2366D"/>
    <w:rsid w:val="4CF74EC2"/>
    <w:rsid w:val="4D010671"/>
    <w:rsid w:val="4D316B33"/>
    <w:rsid w:val="4D352FBB"/>
    <w:rsid w:val="4D643156"/>
    <w:rsid w:val="4D743D8A"/>
    <w:rsid w:val="4DA96C4E"/>
    <w:rsid w:val="4DCA2EC8"/>
    <w:rsid w:val="4DF70A62"/>
    <w:rsid w:val="4DFC7089"/>
    <w:rsid w:val="4E0614E3"/>
    <w:rsid w:val="4E2452B7"/>
    <w:rsid w:val="4E695109"/>
    <w:rsid w:val="4E9C3B92"/>
    <w:rsid w:val="4E9D6524"/>
    <w:rsid w:val="4EAD1AF9"/>
    <w:rsid w:val="4EB40E5E"/>
    <w:rsid w:val="4EE23C1E"/>
    <w:rsid w:val="4F087627"/>
    <w:rsid w:val="4F0A5B3C"/>
    <w:rsid w:val="4F1913AC"/>
    <w:rsid w:val="4F471CD3"/>
    <w:rsid w:val="4F4F5A65"/>
    <w:rsid w:val="4F6426A9"/>
    <w:rsid w:val="4F642884"/>
    <w:rsid w:val="4F7A31F5"/>
    <w:rsid w:val="4F7D7EAE"/>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970CD"/>
    <w:rsid w:val="50C72D83"/>
    <w:rsid w:val="512F2A1E"/>
    <w:rsid w:val="5163596F"/>
    <w:rsid w:val="51642065"/>
    <w:rsid w:val="5178014C"/>
    <w:rsid w:val="51895F2D"/>
    <w:rsid w:val="51A0460E"/>
    <w:rsid w:val="51A823AB"/>
    <w:rsid w:val="51CC648B"/>
    <w:rsid w:val="51E202B2"/>
    <w:rsid w:val="52030FE6"/>
    <w:rsid w:val="52065DA2"/>
    <w:rsid w:val="520A7237"/>
    <w:rsid w:val="52240211"/>
    <w:rsid w:val="522E4D5D"/>
    <w:rsid w:val="524A71B5"/>
    <w:rsid w:val="524B4507"/>
    <w:rsid w:val="52642695"/>
    <w:rsid w:val="5279373F"/>
    <w:rsid w:val="528B1069"/>
    <w:rsid w:val="528D5BD8"/>
    <w:rsid w:val="528F0DD4"/>
    <w:rsid w:val="52930D7F"/>
    <w:rsid w:val="5296438C"/>
    <w:rsid w:val="530F2B4C"/>
    <w:rsid w:val="53144C5A"/>
    <w:rsid w:val="53403A04"/>
    <w:rsid w:val="53666F8B"/>
    <w:rsid w:val="53846AE9"/>
    <w:rsid w:val="539469A8"/>
    <w:rsid w:val="53A40EB9"/>
    <w:rsid w:val="53AE0CB6"/>
    <w:rsid w:val="53D170F4"/>
    <w:rsid w:val="54271E31"/>
    <w:rsid w:val="543C1277"/>
    <w:rsid w:val="544F1C50"/>
    <w:rsid w:val="54606A92"/>
    <w:rsid w:val="54611A81"/>
    <w:rsid w:val="54A3027F"/>
    <w:rsid w:val="54CF69F2"/>
    <w:rsid w:val="54DC110F"/>
    <w:rsid w:val="556A1C0B"/>
    <w:rsid w:val="55846FDD"/>
    <w:rsid w:val="558933C3"/>
    <w:rsid w:val="55B177EA"/>
    <w:rsid w:val="55CD48C4"/>
    <w:rsid w:val="55D45D46"/>
    <w:rsid w:val="55F936B0"/>
    <w:rsid w:val="560C425A"/>
    <w:rsid w:val="562365CA"/>
    <w:rsid w:val="56340430"/>
    <w:rsid w:val="56581D59"/>
    <w:rsid w:val="56654E19"/>
    <w:rsid w:val="568502CA"/>
    <w:rsid w:val="56B0773B"/>
    <w:rsid w:val="56B71078"/>
    <w:rsid w:val="56C254B7"/>
    <w:rsid w:val="5709588E"/>
    <w:rsid w:val="570B437B"/>
    <w:rsid w:val="571760EF"/>
    <w:rsid w:val="571F7ADE"/>
    <w:rsid w:val="57792910"/>
    <w:rsid w:val="5781180D"/>
    <w:rsid w:val="57C54F7B"/>
    <w:rsid w:val="57C77D46"/>
    <w:rsid w:val="57CF4F1B"/>
    <w:rsid w:val="5811368B"/>
    <w:rsid w:val="58201757"/>
    <w:rsid w:val="583321C7"/>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AD7B0E"/>
    <w:rsid w:val="59B94A57"/>
    <w:rsid w:val="59D55070"/>
    <w:rsid w:val="59DA18AC"/>
    <w:rsid w:val="59E546A4"/>
    <w:rsid w:val="59FD6E5D"/>
    <w:rsid w:val="5A2A0DB1"/>
    <w:rsid w:val="5A2F5AF5"/>
    <w:rsid w:val="5A4439EB"/>
    <w:rsid w:val="5A637B38"/>
    <w:rsid w:val="5A8D1386"/>
    <w:rsid w:val="5A93303B"/>
    <w:rsid w:val="5ABB6C3C"/>
    <w:rsid w:val="5ACD77B4"/>
    <w:rsid w:val="5AFF7905"/>
    <w:rsid w:val="5B1836AE"/>
    <w:rsid w:val="5B386851"/>
    <w:rsid w:val="5B492C91"/>
    <w:rsid w:val="5B515ABF"/>
    <w:rsid w:val="5B5A797C"/>
    <w:rsid w:val="5B5B66DC"/>
    <w:rsid w:val="5B6B15AA"/>
    <w:rsid w:val="5B726179"/>
    <w:rsid w:val="5B987BF7"/>
    <w:rsid w:val="5B993CE6"/>
    <w:rsid w:val="5B9C16B8"/>
    <w:rsid w:val="5BAF6495"/>
    <w:rsid w:val="5BF25754"/>
    <w:rsid w:val="5BF5497E"/>
    <w:rsid w:val="5C0F1DCA"/>
    <w:rsid w:val="5C1E13B0"/>
    <w:rsid w:val="5C4E3C3C"/>
    <w:rsid w:val="5C662A50"/>
    <w:rsid w:val="5C9B540C"/>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929A0"/>
    <w:rsid w:val="5D894E7F"/>
    <w:rsid w:val="5D8D080D"/>
    <w:rsid w:val="5D935CE3"/>
    <w:rsid w:val="5DBF6493"/>
    <w:rsid w:val="5DC05209"/>
    <w:rsid w:val="5DC12605"/>
    <w:rsid w:val="5E273AB6"/>
    <w:rsid w:val="5E3A6AA2"/>
    <w:rsid w:val="5E3E4C2D"/>
    <w:rsid w:val="5E5867E1"/>
    <w:rsid w:val="5E674F7E"/>
    <w:rsid w:val="5E874CE8"/>
    <w:rsid w:val="5EB00E5C"/>
    <w:rsid w:val="5ED35331"/>
    <w:rsid w:val="5EE37831"/>
    <w:rsid w:val="5EEB7859"/>
    <w:rsid w:val="5F0A3D5F"/>
    <w:rsid w:val="5F155949"/>
    <w:rsid w:val="5F213F68"/>
    <w:rsid w:val="5F2F6349"/>
    <w:rsid w:val="5F600D4E"/>
    <w:rsid w:val="5F8E3078"/>
    <w:rsid w:val="5F956DDF"/>
    <w:rsid w:val="5F991667"/>
    <w:rsid w:val="5FA416F1"/>
    <w:rsid w:val="5FD93954"/>
    <w:rsid w:val="5FDC55D3"/>
    <w:rsid w:val="5FF469EE"/>
    <w:rsid w:val="5FFB0094"/>
    <w:rsid w:val="60160416"/>
    <w:rsid w:val="60305CC7"/>
    <w:rsid w:val="604A1238"/>
    <w:rsid w:val="60691A69"/>
    <w:rsid w:val="607A0217"/>
    <w:rsid w:val="607A4613"/>
    <w:rsid w:val="60A62DBA"/>
    <w:rsid w:val="60C03CCF"/>
    <w:rsid w:val="60C767F0"/>
    <w:rsid w:val="60C80C67"/>
    <w:rsid w:val="60D42D03"/>
    <w:rsid w:val="60E62C9D"/>
    <w:rsid w:val="60E7307A"/>
    <w:rsid w:val="61087BC8"/>
    <w:rsid w:val="611B62E0"/>
    <w:rsid w:val="61384E28"/>
    <w:rsid w:val="615E501E"/>
    <w:rsid w:val="6180773A"/>
    <w:rsid w:val="61A06374"/>
    <w:rsid w:val="62045801"/>
    <w:rsid w:val="622470A5"/>
    <w:rsid w:val="62247F4C"/>
    <w:rsid w:val="62263653"/>
    <w:rsid w:val="622D2FAA"/>
    <w:rsid w:val="62377615"/>
    <w:rsid w:val="625D25EA"/>
    <w:rsid w:val="62857C4E"/>
    <w:rsid w:val="6286607D"/>
    <w:rsid w:val="62A62781"/>
    <w:rsid w:val="62E05FC6"/>
    <w:rsid w:val="62FD3864"/>
    <w:rsid w:val="62FE2016"/>
    <w:rsid w:val="63464F7D"/>
    <w:rsid w:val="634B0772"/>
    <w:rsid w:val="635E3783"/>
    <w:rsid w:val="636E7A2E"/>
    <w:rsid w:val="637815DC"/>
    <w:rsid w:val="63815A2A"/>
    <w:rsid w:val="63BF7E8E"/>
    <w:rsid w:val="63C01CBD"/>
    <w:rsid w:val="63C427FD"/>
    <w:rsid w:val="63EB5883"/>
    <w:rsid w:val="63FC4F9D"/>
    <w:rsid w:val="643F3D04"/>
    <w:rsid w:val="644204E6"/>
    <w:rsid w:val="64635DFB"/>
    <w:rsid w:val="64683A23"/>
    <w:rsid w:val="64942E6C"/>
    <w:rsid w:val="64963088"/>
    <w:rsid w:val="64A86C2E"/>
    <w:rsid w:val="64AF3910"/>
    <w:rsid w:val="64B8587C"/>
    <w:rsid w:val="64BC2C9E"/>
    <w:rsid w:val="64C31BA2"/>
    <w:rsid w:val="64C626B7"/>
    <w:rsid w:val="65183AA3"/>
    <w:rsid w:val="65352374"/>
    <w:rsid w:val="65683151"/>
    <w:rsid w:val="658066C4"/>
    <w:rsid w:val="65912A7B"/>
    <w:rsid w:val="65A06DD6"/>
    <w:rsid w:val="65C900C9"/>
    <w:rsid w:val="65D2326E"/>
    <w:rsid w:val="660428AE"/>
    <w:rsid w:val="660D1E09"/>
    <w:rsid w:val="660E4242"/>
    <w:rsid w:val="662519F4"/>
    <w:rsid w:val="66354951"/>
    <w:rsid w:val="666A2C09"/>
    <w:rsid w:val="6679092A"/>
    <w:rsid w:val="669315AD"/>
    <w:rsid w:val="669F035C"/>
    <w:rsid w:val="66A84CFD"/>
    <w:rsid w:val="66BA2385"/>
    <w:rsid w:val="66CB4DC3"/>
    <w:rsid w:val="66DB09CF"/>
    <w:rsid w:val="66E96680"/>
    <w:rsid w:val="67237A0F"/>
    <w:rsid w:val="6732233F"/>
    <w:rsid w:val="673267CD"/>
    <w:rsid w:val="67487CFE"/>
    <w:rsid w:val="67695728"/>
    <w:rsid w:val="677038E2"/>
    <w:rsid w:val="677777A9"/>
    <w:rsid w:val="67B43783"/>
    <w:rsid w:val="67B92A72"/>
    <w:rsid w:val="67D019D1"/>
    <w:rsid w:val="67D547C2"/>
    <w:rsid w:val="67D64A49"/>
    <w:rsid w:val="67FA0E09"/>
    <w:rsid w:val="68075EA1"/>
    <w:rsid w:val="681E2A90"/>
    <w:rsid w:val="68233F9E"/>
    <w:rsid w:val="68277A88"/>
    <w:rsid w:val="68446023"/>
    <w:rsid w:val="686831F8"/>
    <w:rsid w:val="689340A3"/>
    <w:rsid w:val="68A12E72"/>
    <w:rsid w:val="68DC73EC"/>
    <w:rsid w:val="68EE4073"/>
    <w:rsid w:val="69054B5C"/>
    <w:rsid w:val="69293200"/>
    <w:rsid w:val="694347AF"/>
    <w:rsid w:val="694F06EB"/>
    <w:rsid w:val="6963607F"/>
    <w:rsid w:val="696403F8"/>
    <w:rsid w:val="69766916"/>
    <w:rsid w:val="698D63CB"/>
    <w:rsid w:val="698F77F4"/>
    <w:rsid w:val="699D2360"/>
    <w:rsid w:val="69B23B9D"/>
    <w:rsid w:val="69D05E80"/>
    <w:rsid w:val="69E82867"/>
    <w:rsid w:val="69FC2745"/>
    <w:rsid w:val="6A086F70"/>
    <w:rsid w:val="6A47547F"/>
    <w:rsid w:val="6A532224"/>
    <w:rsid w:val="6A540655"/>
    <w:rsid w:val="6A5B510D"/>
    <w:rsid w:val="6A763BAE"/>
    <w:rsid w:val="6A80552A"/>
    <w:rsid w:val="6AA159CB"/>
    <w:rsid w:val="6AA26939"/>
    <w:rsid w:val="6AC34955"/>
    <w:rsid w:val="6ACB1DCC"/>
    <w:rsid w:val="6AD50437"/>
    <w:rsid w:val="6AE4041A"/>
    <w:rsid w:val="6AEE57CB"/>
    <w:rsid w:val="6B092F5A"/>
    <w:rsid w:val="6B106EAD"/>
    <w:rsid w:val="6B3030A0"/>
    <w:rsid w:val="6B417EB3"/>
    <w:rsid w:val="6B6F630E"/>
    <w:rsid w:val="6B707214"/>
    <w:rsid w:val="6B923E7E"/>
    <w:rsid w:val="6B9C69D2"/>
    <w:rsid w:val="6BB104FC"/>
    <w:rsid w:val="6BBB0AAB"/>
    <w:rsid w:val="6BC75657"/>
    <w:rsid w:val="6BD126F0"/>
    <w:rsid w:val="6BE1773A"/>
    <w:rsid w:val="6BE35659"/>
    <w:rsid w:val="6C2B66F7"/>
    <w:rsid w:val="6C56491E"/>
    <w:rsid w:val="6C5B64F3"/>
    <w:rsid w:val="6C99501C"/>
    <w:rsid w:val="6CB84F3A"/>
    <w:rsid w:val="6CD429A0"/>
    <w:rsid w:val="6D05726A"/>
    <w:rsid w:val="6D4D4308"/>
    <w:rsid w:val="6D673555"/>
    <w:rsid w:val="6D717C1E"/>
    <w:rsid w:val="6D9241D9"/>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B25B0B"/>
    <w:rsid w:val="6EB80BA0"/>
    <w:rsid w:val="6ED37D90"/>
    <w:rsid w:val="6EDF02CD"/>
    <w:rsid w:val="6F00046B"/>
    <w:rsid w:val="6F065AB6"/>
    <w:rsid w:val="6F3364F9"/>
    <w:rsid w:val="6F441647"/>
    <w:rsid w:val="6F4D0F66"/>
    <w:rsid w:val="6F505503"/>
    <w:rsid w:val="6F57424B"/>
    <w:rsid w:val="6F612830"/>
    <w:rsid w:val="6F9E5543"/>
    <w:rsid w:val="6FD10B10"/>
    <w:rsid w:val="6FE61F22"/>
    <w:rsid w:val="6FFD00DA"/>
    <w:rsid w:val="6FFF03F0"/>
    <w:rsid w:val="701F34FD"/>
    <w:rsid w:val="70352925"/>
    <w:rsid w:val="70505871"/>
    <w:rsid w:val="7059136B"/>
    <w:rsid w:val="706B4405"/>
    <w:rsid w:val="70732893"/>
    <w:rsid w:val="70801B07"/>
    <w:rsid w:val="7080699B"/>
    <w:rsid w:val="709A7A5C"/>
    <w:rsid w:val="70A1406F"/>
    <w:rsid w:val="70B0465E"/>
    <w:rsid w:val="70EE7DA8"/>
    <w:rsid w:val="70FE623D"/>
    <w:rsid w:val="71162540"/>
    <w:rsid w:val="715B3C2A"/>
    <w:rsid w:val="717A163C"/>
    <w:rsid w:val="71803C89"/>
    <w:rsid w:val="71994E64"/>
    <w:rsid w:val="71CA7676"/>
    <w:rsid w:val="71DE606F"/>
    <w:rsid w:val="71E117BB"/>
    <w:rsid w:val="71E22C51"/>
    <w:rsid w:val="71EA7695"/>
    <w:rsid w:val="71EE7FB9"/>
    <w:rsid w:val="72155E50"/>
    <w:rsid w:val="721D341E"/>
    <w:rsid w:val="72536FDC"/>
    <w:rsid w:val="727D75DF"/>
    <w:rsid w:val="72BB74DD"/>
    <w:rsid w:val="72D36E77"/>
    <w:rsid w:val="72DD2BAD"/>
    <w:rsid w:val="72FB66FD"/>
    <w:rsid w:val="732872C5"/>
    <w:rsid w:val="734B6169"/>
    <w:rsid w:val="7360086A"/>
    <w:rsid w:val="739A0DC0"/>
    <w:rsid w:val="73B920B2"/>
    <w:rsid w:val="74085669"/>
    <w:rsid w:val="740A0363"/>
    <w:rsid w:val="740C33C7"/>
    <w:rsid w:val="74275169"/>
    <w:rsid w:val="74412921"/>
    <w:rsid w:val="744F77D8"/>
    <w:rsid w:val="7475710D"/>
    <w:rsid w:val="747621BD"/>
    <w:rsid w:val="747C3CCA"/>
    <w:rsid w:val="74A7099F"/>
    <w:rsid w:val="750441BE"/>
    <w:rsid w:val="75086A21"/>
    <w:rsid w:val="750B356A"/>
    <w:rsid w:val="750C4DDC"/>
    <w:rsid w:val="7510569F"/>
    <w:rsid w:val="75502DDF"/>
    <w:rsid w:val="7560036C"/>
    <w:rsid w:val="756950CA"/>
    <w:rsid w:val="75922EAF"/>
    <w:rsid w:val="75AD28A1"/>
    <w:rsid w:val="75C224B9"/>
    <w:rsid w:val="75E07987"/>
    <w:rsid w:val="75F10BC2"/>
    <w:rsid w:val="76013E56"/>
    <w:rsid w:val="760A7D9D"/>
    <w:rsid w:val="76335855"/>
    <w:rsid w:val="763E51CC"/>
    <w:rsid w:val="76465F91"/>
    <w:rsid w:val="764C7D34"/>
    <w:rsid w:val="766026E6"/>
    <w:rsid w:val="76746CF2"/>
    <w:rsid w:val="76B770A6"/>
    <w:rsid w:val="76BB3818"/>
    <w:rsid w:val="76CE7275"/>
    <w:rsid w:val="76D4637C"/>
    <w:rsid w:val="76DD60BF"/>
    <w:rsid w:val="76E4362B"/>
    <w:rsid w:val="770A1659"/>
    <w:rsid w:val="7712242B"/>
    <w:rsid w:val="771F60E4"/>
    <w:rsid w:val="77231D40"/>
    <w:rsid w:val="773A7A8E"/>
    <w:rsid w:val="77545067"/>
    <w:rsid w:val="77592400"/>
    <w:rsid w:val="77703F76"/>
    <w:rsid w:val="777D1E86"/>
    <w:rsid w:val="77825F67"/>
    <w:rsid w:val="77B91A42"/>
    <w:rsid w:val="77C5780E"/>
    <w:rsid w:val="77F35CA4"/>
    <w:rsid w:val="781A76D5"/>
    <w:rsid w:val="782F327E"/>
    <w:rsid w:val="78397A32"/>
    <w:rsid w:val="78A06277"/>
    <w:rsid w:val="78C64F8E"/>
    <w:rsid w:val="791A1EB8"/>
    <w:rsid w:val="791E4FA3"/>
    <w:rsid w:val="797161CD"/>
    <w:rsid w:val="797167CA"/>
    <w:rsid w:val="798E4E1E"/>
    <w:rsid w:val="799E2AB3"/>
    <w:rsid w:val="79A37A59"/>
    <w:rsid w:val="79C61A14"/>
    <w:rsid w:val="79C85435"/>
    <w:rsid w:val="79EE5B89"/>
    <w:rsid w:val="79F05A1B"/>
    <w:rsid w:val="79F05C22"/>
    <w:rsid w:val="7A020CA3"/>
    <w:rsid w:val="7A067805"/>
    <w:rsid w:val="7AA408FA"/>
    <w:rsid w:val="7B123707"/>
    <w:rsid w:val="7B236D19"/>
    <w:rsid w:val="7B307625"/>
    <w:rsid w:val="7B347CEC"/>
    <w:rsid w:val="7B576B4E"/>
    <w:rsid w:val="7B761608"/>
    <w:rsid w:val="7B761892"/>
    <w:rsid w:val="7B87133C"/>
    <w:rsid w:val="7BC10593"/>
    <w:rsid w:val="7BF4357B"/>
    <w:rsid w:val="7C105077"/>
    <w:rsid w:val="7C416F95"/>
    <w:rsid w:val="7C4E5B9F"/>
    <w:rsid w:val="7C580760"/>
    <w:rsid w:val="7C824B4A"/>
    <w:rsid w:val="7C8B3404"/>
    <w:rsid w:val="7C9868DA"/>
    <w:rsid w:val="7C9C47E0"/>
    <w:rsid w:val="7C9E070C"/>
    <w:rsid w:val="7CBB152F"/>
    <w:rsid w:val="7D193EA6"/>
    <w:rsid w:val="7D1C38BC"/>
    <w:rsid w:val="7D2C343C"/>
    <w:rsid w:val="7D3603BB"/>
    <w:rsid w:val="7D4C3183"/>
    <w:rsid w:val="7D7609A4"/>
    <w:rsid w:val="7D9314F6"/>
    <w:rsid w:val="7D9C06C0"/>
    <w:rsid w:val="7DA47321"/>
    <w:rsid w:val="7DBE5AB2"/>
    <w:rsid w:val="7DCA7144"/>
    <w:rsid w:val="7DDB441F"/>
    <w:rsid w:val="7E1161F8"/>
    <w:rsid w:val="7E4B1AB3"/>
    <w:rsid w:val="7E58216F"/>
    <w:rsid w:val="7E58478A"/>
    <w:rsid w:val="7E70415D"/>
    <w:rsid w:val="7E74313A"/>
    <w:rsid w:val="7E7F1745"/>
    <w:rsid w:val="7E886BD8"/>
    <w:rsid w:val="7E922F1E"/>
    <w:rsid w:val="7E9C1A45"/>
    <w:rsid w:val="7EA847B5"/>
    <w:rsid w:val="7EEF7176"/>
    <w:rsid w:val="7F08427C"/>
    <w:rsid w:val="7F271055"/>
    <w:rsid w:val="7F547198"/>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1857</Words>
  <Characters>10872</Characters>
  <Lines>49</Lines>
  <Paragraphs>13</Paragraphs>
  <TotalTime>0</TotalTime>
  <ScaleCrop>false</ScaleCrop>
  <LinksUpToDate>false</LinksUpToDate>
  <CharactersWithSpaces>12668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2025-03-28T09:26:25Z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497565F0477F46939C1B7CF76491C1E8_13</vt:lpwstr>
  </property>
  <property fmtid="{D5CDD505-2E9C-101B-9397-08002B2CF9AE}" pid="4" name="KSOTemplateDocerSaveRecord">
    <vt:lpwstr>eyJoZGlkIjoiMzEwNTM5NzYwMDRjMzkwZTVkZjY2ODkwMGIxNGU0OTUiLCJ1c2VySWQiOiI1MDQ0ODU3MTMifQ==</vt:lpwstr>
  </property>
</Properties>
</file>